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12" w:rsidRP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CA4812">
        <w:rPr>
          <w:rFonts w:ascii="Times New Roman" w:hAnsi="Times New Roman" w:cs="Times New Roman"/>
          <w:b/>
        </w:rPr>
        <w:t>Табиғи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монополиялар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туралы</w:t>
      </w:r>
      <w:proofErr w:type="spellEnd"/>
      <w:r w:rsidRPr="00CA4812">
        <w:rPr>
          <w:rFonts w:ascii="Times New Roman" w:hAnsi="Times New Roman" w:cs="Times New Roman"/>
          <w:b/>
        </w:rPr>
        <w:t xml:space="preserve"> "</w:t>
      </w:r>
      <w:proofErr w:type="spellStart"/>
      <w:r w:rsidRPr="00CA4812">
        <w:rPr>
          <w:rFonts w:ascii="Times New Roman" w:hAnsi="Times New Roman" w:cs="Times New Roman"/>
          <w:b/>
        </w:rPr>
        <w:t>Қазақстан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Республикасының</w:t>
      </w:r>
      <w:proofErr w:type="spellEnd"/>
      <w:r w:rsidRPr="00CA4812">
        <w:rPr>
          <w:rFonts w:ascii="Times New Roman" w:hAnsi="Times New Roman" w:cs="Times New Roman"/>
          <w:b/>
        </w:rPr>
        <w:t xml:space="preserve"> 2018 </w:t>
      </w:r>
      <w:proofErr w:type="spellStart"/>
      <w:r w:rsidRPr="00CA4812">
        <w:rPr>
          <w:rFonts w:ascii="Times New Roman" w:hAnsi="Times New Roman" w:cs="Times New Roman"/>
          <w:b/>
        </w:rPr>
        <w:t>жылғы</w:t>
      </w:r>
      <w:proofErr w:type="spellEnd"/>
      <w:r w:rsidRPr="00CA4812">
        <w:rPr>
          <w:rFonts w:ascii="Times New Roman" w:hAnsi="Times New Roman" w:cs="Times New Roman"/>
          <w:b/>
        </w:rPr>
        <w:t xml:space="preserve"> 27 </w:t>
      </w:r>
      <w:proofErr w:type="spellStart"/>
      <w:r w:rsidRPr="00CA4812">
        <w:rPr>
          <w:rFonts w:ascii="Times New Roman" w:hAnsi="Times New Roman" w:cs="Times New Roman"/>
          <w:b/>
        </w:rPr>
        <w:t>желтоқсандағы</w:t>
      </w:r>
      <w:proofErr w:type="spellEnd"/>
      <w:r w:rsidRPr="00CA4812">
        <w:rPr>
          <w:rFonts w:ascii="Times New Roman" w:hAnsi="Times New Roman" w:cs="Times New Roman"/>
          <w:b/>
        </w:rPr>
        <w:t xml:space="preserve"> № 204-VI </w:t>
      </w:r>
      <w:proofErr w:type="spellStart"/>
      <w:r w:rsidRPr="00CA4812">
        <w:rPr>
          <w:rFonts w:ascii="Times New Roman" w:hAnsi="Times New Roman" w:cs="Times New Roman"/>
          <w:b/>
        </w:rPr>
        <w:t>Заңы</w:t>
      </w:r>
      <w:proofErr w:type="spellEnd"/>
      <w:r w:rsidRPr="00CA4812">
        <w:rPr>
          <w:rFonts w:ascii="Times New Roman" w:hAnsi="Times New Roman" w:cs="Times New Roman"/>
          <w:b/>
        </w:rPr>
        <w:t xml:space="preserve"> 25-бабының 11-тармағына </w:t>
      </w:r>
      <w:proofErr w:type="spellStart"/>
      <w:r w:rsidRPr="00CA4812">
        <w:rPr>
          <w:rFonts w:ascii="Times New Roman" w:hAnsi="Times New Roman" w:cs="Times New Roman"/>
          <w:b/>
        </w:rPr>
        <w:t>сәйкес</w:t>
      </w:r>
      <w:proofErr w:type="spellEnd"/>
      <w:r w:rsidRPr="00CA4812">
        <w:rPr>
          <w:rFonts w:ascii="Times New Roman" w:hAnsi="Times New Roman" w:cs="Times New Roman"/>
          <w:b/>
        </w:rPr>
        <w:t>»,</w:t>
      </w:r>
      <w:r w:rsidRPr="00CA4812">
        <w:t xml:space="preserve"> </w:t>
      </w:r>
      <w:r>
        <w:rPr>
          <w:rFonts w:ascii="Times New Roman" w:hAnsi="Times New Roman" w:cs="Times New Roman"/>
          <w:b/>
          <w:lang w:val="kk-KZ"/>
        </w:rPr>
        <w:t>«</w:t>
      </w:r>
      <w:r w:rsidRPr="00CA4812">
        <w:rPr>
          <w:rFonts w:ascii="Times New Roman" w:hAnsi="Times New Roman" w:cs="Times New Roman"/>
          <w:b/>
        </w:rPr>
        <w:t>МАЭ</w:t>
      </w:r>
      <w:proofErr w:type="gramStart"/>
      <w:r w:rsidRPr="00CA4812">
        <w:rPr>
          <w:rFonts w:ascii="Times New Roman" w:hAnsi="Times New Roman" w:cs="Times New Roman"/>
          <w:b/>
        </w:rPr>
        <w:t>К-</w:t>
      </w:r>
      <w:proofErr w:type="spellStart"/>
      <w:proofErr w:type="gramEnd"/>
      <w:r w:rsidRPr="00CA4812">
        <w:rPr>
          <w:rFonts w:ascii="Times New Roman" w:hAnsi="Times New Roman" w:cs="Times New Roman"/>
          <w:b/>
        </w:rPr>
        <w:t>Қазатомөнеркәсіп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  <w:r w:rsidRPr="00CA4812">
        <w:rPr>
          <w:rFonts w:ascii="Times New Roman" w:hAnsi="Times New Roman" w:cs="Times New Roman"/>
          <w:b/>
        </w:rPr>
        <w:t xml:space="preserve"> ЖШС 2018 </w:t>
      </w:r>
      <w:proofErr w:type="spellStart"/>
      <w:r w:rsidRPr="00CA4812">
        <w:rPr>
          <w:rFonts w:ascii="Times New Roman" w:hAnsi="Times New Roman" w:cs="Times New Roman"/>
          <w:b/>
        </w:rPr>
        <w:t>жылға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тұтынушылар</w:t>
      </w:r>
      <w:proofErr w:type="spellEnd"/>
      <w:r w:rsidRPr="00CA4812">
        <w:rPr>
          <w:rFonts w:ascii="Times New Roman" w:hAnsi="Times New Roman" w:cs="Times New Roman"/>
          <w:b/>
        </w:rPr>
        <w:t xml:space="preserve"> мен </w:t>
      </w:r>
      <w:proofErr w:type="spellStart"/>
      <w:r w:rsidRPr="00CA4812">
        <w:rPr>
          <w:rFonts w:ascii="Times New Roman" w:hAnsi="Times New Roman" w:cs="Times New Roman"/>
          <w:b/>
        </w:rPr>
        <w:t>өзге</w:t>
      </w:r>
      <w:proofErr w:type="spellEnd"/>
      <w:r w:rsidRPr="00CA4812">
        <w:rPr>
          <w:rFonts w:ascii="Times New Roman" w:hAnsi="Times New Roman" w:cs="Times New Roman"/>
          <w:b/>
        </w:rPr>
        <w:t xml:space="preserve"> де </w:t>
      </w:r>
      <w:proofErr w:type="spellStart"/>
      <w:r w:rsidRPr="00CA4812">
        <w:rPr>
          <w:rFonts w:ascii="Times New Roman" w:hAnsi="Times New Roman" w:cs="Times New Roman"/>
          <w:b/>
        </w:rPr>
        <w:t>мүдделі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тұлғалар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алдында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реттеліп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көрсетілетін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қызметтерді</w:t>
      </w:r>
      <w:proofErr w:type="spellEnd"/>
      <w:r w:rsidRPr="00CA4812">
        <w:rPr>
          <w:rFonts w:ascii="Times New Roman" w:hAnsi="Times New Roman" w:cs="Times New Roman"/>
          <w:b/>
        </w:rPr>
        <w:t xml:space="preserve"> (</w:t>
      </w:r>
      <w:proofErr w:type="spellStart"/>
      <w:r w:rsidRPr="00CA4812">
        <w:rPr>
          <w:rFonts w:ascii="Times New Roman" w:hAnsi="Times New Roman" w:cs="Times New Roman"/>
          <w:b/>
        </w:rPr>
        <w:t>тауарларды</w:t>
      </w:r>
      <w:proofErr w:type="spellEnd"/>
      <w:r w:rsidRPr="00CA4812">
        <w:rPr>
          <w:rFonts w:ascii="Times New Roman" w:hAnsi="Times New Roman" w:cs="Times New Roman"/>
          <w:b/>
        </w:rPr>
        <w:t xml:space="preserve">, </w:t>
      </w:r>
      <w:proofErr w:type="spellStart"/>
      <w:r w:rsidRPr="00CA4812">
        <w:rPr>
          <w:rFonts w:ascii="Times New Roman" w:hAnsi="Times New Roman" w:cs="Times New Roman"/>
          <w:b/>
        </w:rPr>
        <w:t>жұмыстарды</w:t>
      </w:r>
      <w:proofErr w:type="spellEnd"/>
      <w:r w:rsidRPr="00CA4812">
        <w:rPr>
          <w:rFonts w:ascii="Times New Roman" w:hAnsi="Times New Roman" w:cs="Times New Roman"/>
          <w:b/>
        </w:rPr>
        <w:t xml:space="preserve">) </w:t>
      </w:r>
      <w:proofErr w:type="spellStart"/>
      <w:r w:rsidRPr="00CA4812">
        <w:rPr>
          <w:rFonts w:ascii="Times New Roman" w:hAnsi="Times New Roman" w:cs="Times New Roman"/>
          <w:b/>
        </w:rPr>
        <w:t>ұсыну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жөніндегі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қызмет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туралы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есепті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орналастырады</w:t>
      </w:r>
      <w:proofErr w:type="spellEnd"/>
      <w:r w:rsidRPr="00CA4812">
        <w:rPr>
          <w:rFonts w:ascii="Times New Roman" w:hAnsi="Times New Roman" w:cs="Times New Roman"/>
          <w:b/>
        </w:rPr>
        <w:t>:</w:t>
      </w:r>
    </w:p>
    <w:p w:rsidR="00CA4812" w:rsidRP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A4812" w:rsidRP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CA4812">
        <w:rPr>
          <w:rFonts w:ascii="Times New Roman" w:hAnsi="Times New Roman" w:cs="Times New Roman"/>
          <w:b/>
          <w:u w:val="single"/>
        </w:rPr>
        <w:t xml:space="preserve">1. </w:t>
      </w:r>
      <w:proofErr w:type="spellStart"/>
      <w:proofErr w:type="gramStart"/>
      <w:r w:rsidRPr="00CA4812">
        <w:rPr>
          <w:rFonts w:ascii="Times New Roman" w:hAnsi="Times New Roman" w:cs="Times New Roman"/>
          <w:b/>
          <w:u w:val="single"/>
        </w:rPr>
        <w:t>У</w:t>
      </w:r>
      <w:proofErr w:type="gramEnd"/>
      <w:r w:rsidRPr="00CA4812">
        <w:rPr>
          <w:rFonts w:ascii="Times New Roman" w:hAnsi="Times New Roman" w:cs="Times New Roman"/>
          <w:b/>
          <w:u w:val="single"/>
        </w:rPr>
        <w:t>әкілетті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органның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ведомствосы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бекіткен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инвестициялық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бағдарламаларды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және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(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немесе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)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инвестициялық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жобаларды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орындау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CA4812">
        <w:rPr>
          <w:rFonts w:ascii="Times New Roman" w:hAnsi="Times New Roman" w:cs="Times New Roman"/>
          <w:b/>
          <w:u w:val="single"/>
        </w:rPr>
        <w:t>:</w:t>
      </w:r>
    </w:p>
    <w:p w:rsidR="00CA4812" w:rsidRP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A4812" w:rsidRP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2018 </w:t>
      </w:r>
      <w:proofErr w:type="spellStart"/>
      <w:r>
        <w:rPr>
          <w:rFonts w:ascii="Times New Roman" w:hAnsi="Times New Roman" w:cs="Times New Roman"/>
          <w:b/>
        </w:rPr>
        <w:t>жыл</w:t>
      </w:r>
      <w:proofErr w:type="spellEnd"/>
      <w:r>
        <w:rPr>
          <w:rFonts w:ascii="Times New Roman" w:hAnsi="Times New Roman" w:cs="Times New Roman"/>
          <w:b/>
          <w:lang w:val="kk-KZ"/>
        </w:rPr>
        <w:t>ғы</w:t>
      </w:r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жылу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энергиясын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өндіру</w:t>
      </w:r>
      <w:proofErr w:type="spellEnd"/>
      <w:r w:rsidRPr="00CA4812">
        <w:rPr>
          <w:rFonts w:ascii="Times New Roman" w:hAnsi="Times New Roman" w:cs="Times New Roman"/>
          <w:b/>
        </w:rPr>
        <w:t xml:space="preserve"> </w:t>
      </w:r>
      <w:proofErr w:type="spellStart"/>
      <w:r w:rsidRPr="00CA4812">
        <w:rPr>
          <w:rFonts w:ascii="Times New Roman" w:hAnsi="Times New Roman" w:cs="Times New Roman"/>
          <w:b/>
        </w:rPr>
        <w:t>бойынша</w:t>
      </w:r>
      <w:proofErr w:type="spellEnd"/>
    </w:p>
    <w:p w:rsidR="00CA4812" w:rsidRPr="00CA4812" w:rsidRDefault="00CA4812" w:rsidP="00CA4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</w:t>
      </w:r>
      <w:r w:rsidRPr="00CA4812">
        <w:rPr>
          <w:rFonts w:ascii="Times New Roman" w:hAnsi="Times New Roman" w:cs="Times New Roman"/>
          <w:b/>
          <w:lang w:val="kk-KZ"/>
        </w:rPr>
        <w:t>нвестициялық бағдарламаның орындалуы туралы ақпарат</w:t>
      </w:r>
    </w:p>
    <w:p w:rsidR="00A94C15" w:rsidRPr="00CA4812" w:rsidRDefault="00A94C15" w:rsidP="00CA4812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horzAnchor="page" w:tblpX="2089" w:tblpY="-110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6"/>
        <w:gridCol w:w="2268"/>
        <w:gridCol w:w="2127"/>
        <w:gridCol w:w="2409"/>
      </w:tblGrid>
      <w:tr w:rsidR="000F63BC" w:rsidRPr="00FB0E39" w:rsidTr="000F63BC">
        <w:trPr>
          <w:trHeight w:val="400"/>
        </w:trPr>
        <w:tc>
          <w:tcPr>
            <w:tcW w:w="681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CA4812" w:rsidRDefault="001B5B0A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812" w:rsidRPr="00CA4812" w:rsidRDefault="00CA4812" w:rsidP="00CA481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</w:p>
          <w:p w:rsidR="00CA4812" w:rsidRPr="00CA4812" w:rsidRDefault="00CA4812" w:rsidP="00CA48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</w:pPr>
          </w:p>
          <w:p w:rsidR="000F63BC" w:rsidRPr="00CD36E4" w:rsidRDefault="00CA4812" w:rsidP="00CA481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D36E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Барлығы, мың теңге ҚҚС-сыз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CA4812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Орындалу </w:t>
            </w:r>
            <w:r w:rsidR="000F63BC"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3BC" w:rsidRPr="00FB0E39" w:rsidTr="000F63BC">
        <w:trPr>
          <w:trHeight w:val="48"/>
        </w:trPr>
        <w:tc>
          <w:tcPr>
            <w:tcW w:w="6816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CA4812" w:rsidRDefault="00CA4812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0F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FB0E39" w:rsidTr="000F63BC">
        <w:trPr>
          <w:trHeight w:val="168"/>
        </w:trPr>
        <w:tc>
          <w:tcPr>
            <w:tcW w:w="681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CA4812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hAnsi="Times New Roman" w:cs="Times New Roman"/>
              </w:rPr>
              <w:t xml:space="preserve">- </w:t>
            </w:r>
            <w:r w:rsidR="00CA4812">
              <w:rPr>
                <w:rFonts w:ascii="Times New Roman" w:hAnsi="Times New Roman" w:cs="Times New Roman"/>
                <w:lang w:val="kk-KZ"/>
              </w:rPr>
              <w:t xml:space="preserve">ЖЭО-2-ЖЭО-1 ПС  жылу құбырын </w:t>
            </w:r>
            <w:proofErr w:type="gramStart"/>
            <w:r w:rsidR="00CA4812">
              <w:rPr>
                <w:rFonts w:ascii="Times New Roman" w:hAnsi="Times New Roman" w:cs="Times New Roman"/>
                <w:lang w:val="kk-KZ"/>
              </w:rPr>
              <w:t>күрдел</w:t>
            </w:r>
            <w:proofErr w:type="gramEnd"/>
            <w:r w:rsidR="00CA4812">
              <w:rPr>
                <w:rFonts w:ascii="Times New Roman" w:hAnsi="Times New Roman" w:cs="Times New Roman"/>
                <w:lang w:val="kk-KZ"/>
              </w:rPr>
              <w:t xml:space="preserve">і жөндеу (1 кезең) 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192 018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163 215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861A5" w:rsidRPr="00FB0E39" w:rsidRDefault="00C861A5" w:rsidP="00C8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FD1DD2" w:rsidRDefault="00CA481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Жұмыстар толық көлемде орындалды.</w:t>
      </w:r>
    </w:p>
    <w:p w:rsidR="00CA4812" w:rsidRPr="00CA4812" w:rsidRDefault="00CA4812" w:rsidP="000F63B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lang w:val="kk-KZ"/>
        </w:rPr>
      </w:pPr>
    </w:p>
    <w:p w:rsidR="00CA4812" w:rsidRDefault="00CA4812" w:rsidP="000F63BC">
      <w:pPr>
        <w:pStyle w:val="a3"/>
        <w:jc w:val="center"/>
        <w:rPr>
          <w:rFonts w:ascii="Times New Roman" w:hAnsi="Times New Roman" w:cs="Times New Roman"/>
          <w:b/>
          <w:bCs/>
          <w:lang w:val="kk-KZ"/>
        </w:rPr>
      </w:pPr>
      <w:r w:rsidRPr="00CA4812">
        <w:rPr>
          <w:rFonts w:ascii="Times New Roman" w:hAnsi="Times New Roman" w:cs="Times New Roman"/>
          <w:b/>
          <w:bCs/>
          <w:lang w:val="kk-KZ"/>
        </w:rPr>
        <w:t xml:space="preserve">2018 жылы техникалық су өндіру бойынша </w:t>
      </w:r>
    </w:p>
    <w:p w:rsidR="00CA4812" w:rsidRDefault="00CA4812" w:rsidP="000F63BC">
      <w:pPr>
        <w:pStyle w:val="a3"/>
        <w:jc w:val="center"/>
        <w:rPr>
          <w:rFonts w:ascii="Times New Roman" w:hAnsi="Times New Roman" w:cs="Times New Roman"/>
          <w:b/>
          <w:bCs/>
          <w:lang w:val="kk-KZ"/>
        </w:rPr>
      </w:pPr>
      <w:r w:rsidRPr="00CA4812">
        <w:rPr>
          <w:rFonts w:ascii="Times New Roman" w:hAnsi="Times New Roman" w:cs="Times New Roman"/>
          <w:b/>
          <w:bCs/>
          <w:lang w:val="kk-KZ"/>
        </w:rPr>
        <w:t>инвестициялық бағдарламаның орындалуы туралы ақпарат</w:t>
      </w:r>
    </w:p>
    <w:p w:rsidR="00A94C15" w:rsidRPr="00CA4812" w:rsidRDefault="00A94C15" w:rsidP="00CA4812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0F63BC" w:rsidRPr="00FB0E39" w:rsidTr="00FD1DD2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CA4812" w:rsidRDefault="001B5B0A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1D0573" w:rsidRDefault="001D0573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D05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Барлығы, мың теңге ҚҚС-сыз</w:t>
            </w:r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D0573" w:rsidRPr="00FB0E39" w:rsidRDefault="001D0573" w:rsidP="001D05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Орындалу </w:t>
            </w: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3BC" w:rsidRPr="00FB0E39" w:rsidTr="00FD1DD2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AD6E29" w:rsidRDefault="00AD6E29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F63BC" w:rsidRPr="00FB0E39" w:rsidRDefault="000F63BC" w:rsidP="00F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72" w:rsidRPr="00FB0E39" w:rsidTr="00FD1DD2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AD6E29" w:rsidP="00FD1DD2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hAnsi="Times New Roman" w:cs="Times New Roman"/>
              </w:rPr>
              <w:t xml:space="preserve">30-32км </w:t>
            </w:r>
            <w:proofErr w:type="spellStart"/>
            <w:r w:rsidRPr="00AD6E29">
              <w:rPr>
                <w:rFonts w:ascii="Times New Roman" w:hAnsi="Times New Roman" w:cs="Times New Roman"/>
              </w:rPr>
              <w:t>арасындағы</w:t>
            </w:r>
            <w:proofErr w:type="spellEnd"/>
            <w:r w:rsidRPr="00AD6E29">
              <w:rPr>
                <w:rFonts w:ascii="Times New Roman" w:hAnsi="Times New Roman" w:cs="Times New Roman"/>
              </w:rPr>
              <w:t xml:space="preserve"> Ду-600мм </w:t>
            </w:r>
            <w:proofErr w:type="spellStart"/>
            <w:r w:rsidRPr="00AD6E29">
              <w:rPr>
                <w:rFonts w:ascii="Times New Roman" w:hAnsi="Times New Roman" w:cs="Times New Roman"/>
              </w:rPr>
              <w:t>магистральды</w:t>
            </w:r>
            <w:proofErr w:type="spellEnd"/>
            <w:r w:rsidRPr="00AD6E29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Pr="00AD6E29">
              <w:rPr>
                <w:rFonts w:ascii="Times New Roman" w:hAnsi="Times New Roman" w:cs="Times New Roman"/>
              </w:rPr>
              <w:t>құбырын</w:t>
            </w:r>
            <w:proofErr w:type="spellEnd"/>
            <w:r w:rsidRPr="00AD6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6E29">
              <w:rPr>
                <w:rFonts w:ascii="Times New Roman" w:hAnsi="Times New Roman" w:cs="Times New Roman"/>
              </w:rPr>
              <w:t>к</w:t>
            </w:r>
            <w:proofErr w:type="gramEnd"/>
            <w:r w:rsidRPr="00AD6E29">
              <w:rPr>
                <w:rFonts w:ascii="Times New Roman" w:hAnsi="Times New Roman" w:cs="Times New Roman"/>
              </w:rPr>
              <w:t>үрделі</w:t>
            </w:r>
            <w:proofErr w:type="spellEnd"/>
            <w:r w:rsidRPr="00AD6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E29">
              <w:rPr>
                <w:rFonts w:ascii="Times New Roman" w:hAnsi="Times New Roman" w:cs="Times New Roman"/>
              </w:rPr>
              <w:t>жөндеу</w:t>
            </w:r>
            <w:proofErr w:type="spellEnd"/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66 832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2F6972" w:rsidRDefault="002F6972" w:rsidP="002F69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69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56 807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6972" w:rsidRPr="00FB0E39" w:rsidRDefault="002F6972" w:rsidP="000F63B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</w:t>
            </w: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C15" w:rsidRPr="00FB0E39" w:rsidRDefault="00A94C15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63BC" w:rsidRPr="00FB0E39" w:rsidRDefault="000F63BC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D0573" w:rsidRDefault="001D0573" w:rsidP="001D05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Жұмыстар толық көлемде орындалды.</w:t>
      </w:r>
    </w:p>
    <w:p w:rsidR="00FD1DD2" w:rsidRPr="001D0573" w:rsidRDefault="00FD1DD2" w:rsidP="001D057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573" w:rsidRDefault="001D0573" w:rsidP="001D0573">
      <w:pPr>
        <w:pStyle w:val="a3"/>
        <w:jc w:val="center"/>
        <w:rPr>
          <w:rFonts w:ascii="Times New Roman" w:hAnsi="Times New Roman" w:cs="Times New Roman"/>
          <w:b/>
          <w:bCs/>
          <w:lang w:val="kk-KZ"/>
        </w:rPr>
      </w:pPr>
      <w:r w:rsidRPr="00CA4812">
        <w:rPr>
          <w:rFonts w:ascii="Times New Roman" w:hAnsi="Times New Roman" w:cs="Times New Roman"/>
          <w:b/>
          <w:bCs/>
          <w:lang w:val="kk-KZ"/>
        </w:rPr>
        <w:t xml:space="preserve">2018 жылы </w:t>
      </w:r>
      <w:r>
        <w:rPr>
          <w:rFonts w:ascii="Times New Roman" w:hAnsi="Times New Roman" w:cs="Times New Roman"/>
          <w:b/>
          <w:bCs/>
          <w:lang w:val="kk-KZ"/>
        </w:rPr>
        <w:t>ауыз</w:t>
      </w:r>
      <w:r w:rsidRPr="00CA4812">
        <w:rPr>
          <w:rFonts w:ascii="Times New Roman" w:hAnsi="Times New Roman" w:cs="Times New Roman"/>
          <w:b/>
          <w:bCs/>
          <w:lang w:val="kk-KZ"/>
        </w:rPr>
        <w:t xml:space="preserve"> су өндіру бойынша </w:t>
      </w:r>
    </w:p>
    <w:p w:rsidR="001D0573" w:rsidRDefault="001D0573" w:rsidP="001D0573">
      <w:pPr>
        <w:pStyle w:val="a3"/>
        <w:jc w:val="center"/>
        <w:rPr>
          <w:rFonts w:ascii="Times New Roman" w:hAnsi="Times New Roman" w:cs="Times New Roman"/>
          <w:b/>
          <w:bCs/>
          <w:lang w:val="kk-KZ"/>
        </w:rPr>
      </w:pPr>
      <w:r w:rsidRPr="00CA4812">
        <w:rPr>
          <w:rFonts w:ascii="Times New Roman" w:hAnsi="Times New Roman" w:cs="Times New Roman"/>
          <w:b/>
          <w:bCs/>
          <w:lang w:val="kk-KZ"/>
        </w:rPr>
        <w:t>инвестициялық бағдарламаның орындалуы туралы ақпарат</w:t>
      </w:r>
    </w:p>
    <w:p w:rsidR="00693826" w:rsidRPr="001D0573" w:rsidRDefault="00693826" w:rsidP="00A94C15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</w:p>
    <w:p w:rsidR="00693826" w:rsidRPr="001D0573" w:rsidRDefault="00693826" w:rsidP="001D0573">
      <w:pPr>
        <w:rPr>
          <w:rFonts w:ascii="Times New Roman" w:hAnsi="Times New Roman" w:cs="Times New Roman"/>
          <w:b/>
          <w:bCs/>
          <w:lang w:val="kk-KZ"/>
        </w:rPr>
      </w:pPr>
    </w:p>
    <w:tbl>
      <w:tblPr>
        <w:tblpPr w:leftFromText="180" w:rightFromText="180" w:vertAnchor="text" w:horzAnchor="page" w:tblpX="1817" w:tblpY="-110"/>
        <w:tblW w:w="138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8"/>
        <w:gridCol w:w="2268"/>
        <w:gridCol w:w="2127"/>
        <w:gridCol w:w="2409"/>
      </w:tblGrid>
      <w:tr w:rsidR="00693826" w:rsidRPr="00FB0E39" w:rsidTr="00693826">
        <w:trPr>
          <w:trHeight w:val="400"/>
        </w:trPr>
        <w:tc>
          <w:tcPr>
            <w:tcW w:w="708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1D0573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>Іс-шараның атауы</w:t>
            </w:r>
          </w:p>
        </w:tc>
        <w:tc>
          <w:tcPr>
            <w:tcW w:w="4395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1D0573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Барлығы</w:t>
            </w:r>
            <w:proofErr w:type="spellEnd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мың</w:t>
            </w:r>
            <w:proofErr w:type="spellEnd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теңге</w:t>
            </w:r>
            <w:proofErr w:type="spellEnd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ҚҚС-</w:t>
            </w:r>
            <w:proofErr w:type="spellStart"/>
            <w:r w:rsidRPr="00CA48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сыз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D0573" w:rsidRPr="00FB0E39" w:rsidRDefault="001D0573" w:rsidP="001D057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k-KZ" w:eastAsia="ru-RU"/>
              </w:rPr>
              <w:t xml:space="preserve">Орындалу </w:t>
            </w:r>
            <w:r w:rsidRPr="00FB0E3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3826" w:rsidRPr="00FB0E39" w:rsidTr="00693826">
        <w:trPr>
          <w:trHeight w:val="48"/>
        </w:trPr>
        <w:tc>
          <w:tcPr>
            <w:tcW w:w="7088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AD6E29" w:rsidRDefault="00AD6E29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жоспар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93826" w:rsidRPr="00FB0E39" w:rsidRDefault="00693826" w:rsidP="0069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3F" w:rsidRPr="00FB0E39" w:rsidTr="00693826">
        <w:trPr>
          <w:trHeight w:val="484"/>
        </w:trPr>
        <w:tc>
          <w:tcPr>
            <w:tcW w:w="708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FB0E39" w:rsidRDefault="0061335A" w:rsidP="00693826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5A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61335A">
              <w:rPr>
                <w:rFonts w:ascii="Times New Roman" w:hAnsi="Times New Roman" w:cs="Times New Roman"/>
              </w:rPr>
              <w:t>жылы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реттелі</w:t>
            </w:r>
            <w:proofErr w:type="gramStart"/>
            <w:r w:rsidRPr="006133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қызметтерді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335A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335A">
              <w:rPr>
                <w:rFonts w:ascii="Times New Roman" w:hAnsi="Times New Roman" w:cs="Times New Roman"/>
              </w:rPr>
              <w:t>жұмыстарды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1335A">
              <w:rPr>
                <w:rFonts w:ascii="Times New Roman" w:hAnsi="Times New Roman" w:cs="Times New Roman"/>
              </w:rPr>
              <w:t>өндіруге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тарифтерді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өзгерту</w:t>
            </w:r>
            <w:proofErr w:type="spellEnd"/>
            <w:r w:rsidRPr="006133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35A">
              <w:rPr>
                <w:rFonts w:ascii="Times New Roman" w:hAnsi="Times New Roman" w:cs="Times New Roman"/>
              </w:rPr>
              <w:t>жоспарланбаған</w:t>
            </w:r>
            <w:proofErr w:type="spellEnd"/>
            <w:r w:rsidRPr="00613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107 237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24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5533F" w:rsidRPr="00FB0E39" w:rsidRDefault="00E5533F" w:rsidP="00E553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149</w:t>
            </w:r>
            <w:r w:rsidRPr="00FB0E3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93826" w:rsidRPr="00FB0E39" w:rsidRDefault="00693826" w:rsidP="0069382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1D0573" w:rsidRDefault="001D0573" w:rsidP="001D05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Жұмыстар толық көлемде орындалды.</w:t>
      </w:r>
    </w:p>
    <w:p w:rsidR="00693826" w:rsidRPr="00FB0E39" w:rsidRDefault="00693826" w:rsidP="009232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  <w:sectPr w:rsidR="00693826" w:rsidRPr="00FB0E39" w:rsidSect="007640A3">
          <w:pgSz w:w="16838" w:h="11906" w:orient="landscape"/>
          <w:pgMar w:top="567" w:right="567" w:bottom="567" w:left="238" w:header="720" w:footer="720" w:gutter="0"/>
          <w:cols w:space="708"/>
          <w:docGrid w:linePitch="360"/>
        </w:sectPr>
      </w:pPr>
    </w:p>
    <w:p w:rsidR="006311E8" w:rsidRPr="00FB0E39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F191A" w:rsidRPr="00FB0E39" w:rsidRDefault="001D0573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0573">
        <w:rPr>
          <w:rFonts w:ascii="Times New Roman" w:hAnsi="Times New Roman" w:cs="Times New Roman"/>
          <w:b/>
          <w:u w:val="single"/>
        </w:rPr>
        <w:t xml:space="preserve">1.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Табиғи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монополия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субъектісі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қызметінің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есепті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кезеңдегі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негізгі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қаржы-экономикалық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көрсеткіштері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  <w:u w:val="single"/>
        </w:rPr>
        <w:t>туралы</w:t>
      </w:r>
      <w:proofErr w:type="spellEnd"/>
      <w:r w:rsidRPr="001D0573">
        <w:rPr>
          <w:rFonts w:ascii="Times New Roman" w:hAnsi="Times New Roman" w:cs="Times New Roman"/>
          <w:b/>
          <w:u w:val="single"/>
        </w:rPr>
        <w:t>:</w:t>
      </w:r>
    </w:p>
    <w:p w:rsidR="004F191A" w:rsidRPr="00CD36E4" w:rsidRDefault="001D0573" w:rsidP="006311E8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</w:t>
      </w:r>
      <w:r w:rsidRPr="00CD36E4">
        <w:rPr>
          <w:rFonts w:ascii="Times New Roman" w:hAnsi="Times New Roman" w:cs="Times New Roman"/>
          <w:b/>
          <w:lang w:val="kk-KZ"/>
        </w:rPr>
        <w:t xml:space="preserve">Табиғи монополиялар субъектісі ретінде </w:t>
      </w:r>
      <w:r>
        <w:rPr>
          <w:rFonts w:ascii="Times New Roman" w:hAnsi="Times New Roman" w:cs="Times New Roman"/>
          <w:b/>
          <w:lang w:val="kk-KZ"/>
        </w:rPr>
        <w:t>«</w:t>
      </w:r>
      <w:r w:rsidRPr="00CD36E4">
        <w:rPr>
          <w:rFonts w:ascii="Times New Roman" w:hAnsi="Times New Roman" w:cs="Times New Roman"/>
          <w:b/>
          <w:lang w:val="kk-KZ"/>
        </w:rPr>
        <w:t>МАЭК-Қазатомөнеркәсіп</w:t>
      </w:r>
      <w:r>
        <w:rPr>
          <w:rFonts w:ascii="Times New Roman" w:hAnsi="Times New Roman" w:cs="Times New Roman"/>
          <w:b/>
          <w:lang w:val="kk-KZ"/>
        </w:rPr>
        <w:t>»</w:t>
      </w:r>
      <w:r w:rsidRPr="00CD36E4">
        <w:rPr>
          <w:rFonts w:ascii="Times New Roman" w:hAnsi="Times New Roman" w:cs="Times New Roman"/>
          <w:b/>
          <w:lang w:val="kk-KZ"/>
        </w:rPr>
        <w:t xml:space="preserve"> ЖШС қаржылық нәтижесі</w:t>
      </w: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1D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1D0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1D05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/б</w:t>
            </w:r>
          </w:p>
        </w:tc>
        <w:tc>
          <w:tcPr>
            <w:tcW w:w="5398" w:type="dxa"/>
            <w:vAlign w:val="center"/>
          </w:tcPr>
          <w:p w:rsidR="004F191A" w:rsidRPr="001D0573" w:rsidRDefault="001D0573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 ресурстарының атауы</w:t>
            </w:r>
          </w:p>
        </w:tc>
        <w:tc>
          <w:tcPr>
            <w:tcW w:w="2221" w:type="dxa"/>
            <w:vAlign w:val="center"/>
          </w:tcPr>
          <w:p w:rsidR="004F191A" w:rsidRPr="001D0573" w:rsidRDefault="001D0573" w:rsidP="001D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нәтиже</w:t>
            </w:r>
            <w:r w:rsidR="004F191A" w:rsidRPr="00FB0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1D0573" w:rsidRDefault="001D0573" w:rsidP="004F19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Жылу энергиясын өндіру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5533F"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1 827 643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1D0573" w:rsidRDefault="001D0573" w:rsidP="004F19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Су шаруашылығы жүйесінің қызметі</w:t>
            </w:r>
          </w:p>
        </w:tc>
        <w:tc>
          <w:tcPr>
            <w:tcW w:w="2221" w:type="dxa"/>
            <w:vAlign w:val="center"/>
          </w:tcPr>
          <w:p w:rsidR="004F191A" w:rsidRPr="0008117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08117B" w:rsidRDefault="001D0573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573">
              <w:rPr>
                <w:rFonts w:ascii="Times New Roman" w:hAnsi="Times New Roman" w:cs="Times New Roman"/>
                <w:sz w:val="24"/>
                <w:szCs w:val="24"/>
              </w:rPr>
              <w:t>ауыз</w:t>
            </w:r>
            <w:proofErr w:type="spellEnd"/>
            <w:r w:rsidRPr="001D0573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1D0573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</w:p>
        </w:tc>
        <w:tc>
          <w:tcPr>
            <w:tcW w:w="2221" w:type="dxa"/>
            <w:vAlign w:val="center"/>
          </w:tcPr>
          <w:p w:rsidR="00E5533F" w:rsidRPr="000C117E" w:rsidRDefault="00E5533F" w:rsidP="003C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-735 521</w:t>
            </w: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1D0573" w:rsidRDefault="001D0573" w:rsidP="004F19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су өндіру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3C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-236 522</w:t>
            </w:r>
          </w:p>
        </w:tc>
      </w:tr>
      <w:tr w:rsidR="00E5533F" w:rsidRPr="00FB0E39" w:rsidTr="004F191A">
        <w:tc>
          <w:tcPr>
            <w:tcW w:w="993" w:type="dxa"/>
            <w:vAlign w:val="center"/>
          </w:tcPr>
          <w:p w:rsidR="00E5533F" w:rsidRPr="0008117B" w:rsidRDefault="00E5533F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1D0573" w:rsidRDefault="001D0573" w:rsidP="004F19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су өндіру</w:t>
            </w:r>
          </w:p>
        </w:tc>
        <w:tc>
          <w:tcPr>
            <w:tcW w:w="2221" w:type="dxa"/>
            <w:vAlign w:val="center"/>
          </w:tcPr>
          <w:p w:rsidR="00E5533F" w:rsidRPr="000C117E" w:rsidRDefault="00E5533F" w:rsidP="003C15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-196 850</w:t>
            </w:r>
          </w:p>
        </w:tc>
      </w:tr>
      <w:tr w:rsidR="004F191A" w:rsidRPr="00FB0E39" w:rsidTr="004F191A">
        <w:tc>
          <w:tcPr>
            <w:tcW w:w="993" w:type="dxa"/>
            <w:vAlign w:val="center"/>
          </w:tcPr>
          <w:p w:rsidR="004F191A" w:rsidRPr="00FB0E39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1D0573" w:rsidRDefault="001D0573" w:rsidP="004F19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221" w:type="dxa"/>
            <w:vAlign w:val="center"/>
          </w:tcPr>
          <w:p w:rsidR="004F191A" w:rsidRPr="00FB0E39" w:rsidRDefault="00E5533F" w:rsidP="0050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-2 996 535</w:t>
            </w:r>
          </w:p>
        </w:tc>
      </w:tr>
    </w:tbl>
    <w:p w:rsidR="001317CB" w:rsidRPr="00FB0E39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1317CB" w:rsidRPr="00FB0E39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E33743" w:rsidRPr="00CD36E4" w:rsidRDefault="001D0573" w:rsidP="001D057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1D0573">
        <w:rPr>
          <w:rFonts w:ascii="Times New Roman" w:hAnsi="Times New Roman" w:cs="Times New Roman"/>
          <w:b/>
          <w:lang w:val="kk-KZ"/>
        </w:rPr>
        <w:t xml:space="preserve">              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Pr="00CD36E4">
        <w:rPr>
          <w:rFonts w:ascii="Times New Roman" w:hAnsi="Times New Roman" w:cs="Times New Roman"/>
          <w:b/>
          <w:u w:val="single"/>
          <w:lang w:val="kk-KZ"/>
        </w:rPr>
        <w:t>1. Реттеліп көрсетілетін қызметтердің (тауарлардың, жұмыстардың) көлемі туралы;</w:t>
      </w:r>
    </w:p>
    <w:p w:rsidR="001E5A02" w:rsidRPr="00FB0E39" w:rsidRDefault="001D0573" w:rsidP="001E5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</w:t>
      </w:r>
      <w:r w:rsidRPr="001D0573">
        <w:rPr>
          <w:rFonts w:ascii="Times New Roman" w:hAnsi="Times New Roman" w:cs="Times New Roman"/>
          <w:b/>
        </w:rPr>
        <w:t xml:space="preserve">2018 </w:t>
      </w:r>
      <w:proofErr w:type="spellStart"/>
      <w:r w:rsidRPr="001D0573">
        <w:rPr>
          <w:rFonts w:ascii="Times New Roman" w:hAnsi="Times New Roman" w:cs="Times New Roman"/>
          <w:b/>
        </w:rPr>
        <w:t>жылғы</w:t>
      </w:r>
      <w:proofErr w:type="spellEnd"/>
      <w:r w:rsidRPr="001D0573">
        <w:rPr>
          <w:rFonts w:ascii="Times New Roman" w:hAnsi="Times New Roman" w:cs="Times New Roman"/>
          <w:b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</w:rPr>
        <w:t>реттелі</w:t>
      </w:r>
      <w:proofErr w:type="gramStart"/>
      <w:r w:rsidRPr="001D0573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1D0573">
        <w:rPr>
          <w:rFonts w:ascii="Times New Roman" w:hAnsi="Times New Roman" w:cs="Times New Roman"/>
          <w:b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</w:rPr>
        <w:t>көрсетілетін</w:t>
      </w:r>
      <w:proofErr w:type="spellEnd"/>
      <w:r w:rsidRPr="001D0573">
        <w:rPr>
          <w:rFonts w:ascii="Times New Roman" w:hAnsi="Times New Roman" w:cs="Times New Roman"/>
          <w:b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</w:rPr>
        <w:t>қызметтердің</w:t>
      </w:r>
      <w:proofErr w:type="spellEnd"/>
      <w:r w:rsidRPr="001D0573">
        <w:rPr>
          <w:rFonts w:ascii="Times New Roman" w:hAnsi="Times New Roman" w:cs="Times New Roman"/>
          <w:b/>
        </w:rPr>
        <w:t xml:space="preserve"> </w:t>
      </w:r>
      <w:proofErr w:type="spellStart"/>
      <w:r w:rsidRPr="001D0573">
        <w:rPr>
          <w:rFonts w:ascii="Times New Roman" w:hAnsi="Times New Roman" w:cs="Times New Roman"/>
          <w:b/>
        </w:rPr>
        <w:t>көлемі</w:t>
      </w:r>
      <w:proofErr w:type="spellEnd"/>
    </w:p>
    <w:tbl>
      <w:tblPr>
        <w:tblW w:w="6242" w:type="dxa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2100"/>
      </w:tblGrid>
      <w:tr w:rsidR="00E5533F" w:rsidRPr="00FB0E39" w:rsidTr="00E5533F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1D0573" w:rsidRDefault="00E5533F" w:rsidP="001D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="001D0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Pr="00FB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D0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B0E39" w:rsidRDefault="001D0573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1D0573" w:rsidP="00E5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1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өлемі</w:t>
            </w:r>
            <w:proofErr w:type="spellEnd"/>
          </w:p>
        </w:tc>
      </w:tr>
      <w:tr w:rsidR="00E5533F" w:rsidRPr="00FB0E39" w:rsidTr="00E5533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1D0573" w:rsidP="001D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Жылу</w:t>
            </w:r>
            <w:r w:rsidR="00E5533F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</w:t>
            </w:r>
            <w:r w:rsidR="005A3F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bookmarkStart w:id="0" w:name="_GoBack"/>
            <w:bookmarkEnd w:id="0"/>
            <w:r w:rsidR="00E5533F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</w:t>
            </w:r>
            <w:r w:rsidR="00E5533F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1 129,255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1D0573" w:rsidP="001D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Ауыз су</w:t>
            </w:r>
            <w:r w:rsidR="00E5533F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мың</w:t>
            </w:r>
            <w:r w:rsidR="00E5533F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12 021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D5230E" w:rsidP="00D5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икалық су</w:t>
            </w:r>
            <w:proofErr w:type="gramStart"/>
            <w:r w:rsidR="00E5533F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ың</w:t>
            </w:r>
            <w:r w:rsidR="00E5533F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3 016,52</w:t>
            </w:r>
          </w:p>
        </w:tc>
      </w:tr>
      <w:tr w:rsidR="00E5533F" w:rsidRPr="00FB0E39" w:rsidTr="00E5533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08117B" w:rsidRDefault="00D5230E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Ыстық су,  мың </w:t>
            </w:r>
            <w:r w:rsidR="00E5533F" w:rsidRPr="000811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3 298,66</w:t>
            </w:r>
          </w:p>
        </w:tc>
      </w:tr>
    </w:tbl>
    <w:p w:rsidR="00EE1374" w:rsidRPr="00FB0E39" w:rsidRDefault="00EE1374" w:rsidP="001E5A02">
      <w:pPr>
        <w:spacing w:after="0" w:line="240" w:lineRule="auto"/>
        <w:rPr>
          <w:rFonts w:ascii="Times New Roman" w:hAnsi="Times New Roman" w:cs="Times New Roman"/>
        </w:rPr>
      </w:pPr>
    </w:p>
    <w:p w:rsidR="000206F4" w:rsidRPr="00FB0E39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8B627C" w:rsidRPr="00FB0E39" w:rsidRDefault="00D5230E" w:rsidP="00020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kk-KZ"/>
        </w:rPr>
        <w:t>Тұтынушылармен реттелетін қызметтердің (тауарлардың, жұмыстардың) жүргізілетін жұмыстары туралы</w:t>
      </w:r>
      <w:r w:rsidR="008B627C" w:rsidRPr="00FB0E39">
        <w:rPr>
          <w:rFonts w:ascii="Times New Roman" w:hAnsi="Times New Roman" w:cs="Times New Roman"/>
          <w:b/>
          <w:u w:val="single"/>
        </w:rPr>
        <w:t>:</w:t>
      </w:r>
    </w:p>
    <w:p w:rsidR="000206F4" w:rsidRPr="00FB0E39" w:rsidRDefault="000206F4" w:rsidP="000206F4">
      <w:pPr>
        <w:spacing w:after="0" w:line="240" w:lineRule="auto"/>
        <w:rPr>
          <w:rFonts w:ascii="Times New Roman" w:hAnsi="Times New Roman" w:cs="Times New Roman"/>
        </w:rPr>
      </w:pPr>
    </w:p>
    <w:p w:rsidR="00155848" w:rsidRDefault="00155848" w:rsidP="00155848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5848">
        <w:rPr>
          <w:rFonts w:ascii="Times New Roman" w:hAnsi="Times New Roman" w:cs="Times New Roman"/>
          <w:sz w:val="24"/>
          <w:szCs w:val="24"/>
          <w:lang w:val="kk-KZ"/>
        </w:rPr>
        <w:t>Ақтау қаласының тұрғындарына әртүрлі жоспарлы қызметтер көрсету үшін (төлемдер, өтініштер, өтінімдер, түсініктемелер) 2-ші шағын ауданның 47"В" ғимаратында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жалдау алаңдарында «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>МАЭК-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Қазатомөнеркәсіп» 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 xml:space="preserve"> ЖШС (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 xml:space="preserve">ҚКО) </w:t>
      </w:r>
      <w:r w:rsidRPr="00155848">
        <w:rPr>
          <w:rFonts w:ascii="Times New Roman" w:hAnsi="Times New Roman" w:cs="Times New Roman"/>
          <w:b/>
          <w:sz w:val="24"/>
          <w:szCs w:val="24"/>
          <w:lang w:val="kk-KZ"/>
        </w:rPr>
        <w:t>тұтынушыларға қызмет көрсету орталығы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 xml:space="preserve"> жұмыс істеді.</w:t>
      </w:r>
    </w:p>
    <w:p w:rsidR="00155848" w:rsidRPr="00E571B3" w:rsidRDefault="00155848" w:rsidP="00E571B3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2018 жылдың қыркүйек айынан бастап ТҚКО 10 шағын ауданының № 1 КТҮ-ге </w:t>
      </w:r>
      <w:r w:rsidR="00E571B3">
        <w:rPr>
          <w:rFonts w:ascii="Times New Roman" w:hAnsi="Times New Roman" w:cs="Times New Roman"/>
          <w:sz w:val="24"/>
          <w:szCs w:val="24"/>
          <w:lang w:val="kk-KZ"/>
        </w:rPr>
        <w:t>ауыстырылды, о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>нда қаланың басқа да комму</w:t>
      </w:r>
      <w:r w:rsidR="00E571B3">
        <w:rPr>
          <w:rFonts w:ascii="Times New Roman" w:hAnsi="Times New Roman" w:cs="Times New Roman"/>
          <w:sz w:val="24"/>
          <w:szCs w:val="24"/>
          <w:lang w:val="kk-KZ"/>
        </w:rPr>
        <w:t>налдық ұйымдарының кассалары – «КЖСА» МКК, «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>Каспий оперейтинг</w:t>
      </w:r>
      <w:r w:rsidR="00E571B3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155848">
        <w:rPr>
          <w:rFonts w:ascii="Times New Roman" w:hAnsi="Times New Roman" w:cs="Times New Roman"/>
          <w:sz w:val="24"/>
          <w:szCs w:val="24"/>
          <w:lang w:val="kk-KZ"/>
        </w:rPr>
        <w:t xml:space="preserve"> ЖШС және т. б. жұмыс істейді.</w:t>
      </w:r>
    </w:p>
    <w:p w:rsidR="00E571B3" w:rsidRDefault="00E571B3" w:rsidP="00E5533F">
      <w:pPr>
        <w:pStyle w:val="a3"/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 сайын (дүйсенбіден бастап жұмаға дейін) ТҚКО-да тұтынушыларға келесілер бойынша қызметтер көрсетіледі:</w:t>
      </w:r>
    </w:p>
    <w:p w:rsidR="00E571B3" w:rsidRPr="00E571B3" w:rsidRDefault="00E571B3" w:rsidP="00E571B3">
      <w:pPr>
        <w:pStyle w:val="a3"/>
        <w:numPr>
          <w:ilvl w:val="0"/>
          <w:numId w:val="18"/>
        </w:numPr>
        <w:tabs>
          <w:tab w:val="left" w:pos="993"/>
        </w:tabs>
        <w:spacing w:after="60"/>
        <w:ind w:left="0" w:right="39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>КО кассаларында (</w:t>
      </w:r>
      <w:r>
        <w:rPr>
          <w:rFonts w:ascii="Times New Roman" w:hAnsi="Times New Roman" w:cs="Times New Roman"/>
          <w:sz w:val="24"/>
          <w:szCs w:val="24"/>
          <w:lang w:val="kk-KZ"/>
        </w:rPr>
        <w:t>ТҚКО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КО учаскелерінде орналасқан) комиссиялық алымсыз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>оммуналдық қызметтерге ақы төлеу);</w:t>
      </w:r>
    </w:p>
    <w:p w:rsidR="00E571B3" w:rsidRPr="00E571B3" w:rsidRDefault="00E571B3" w:rsidP="00E571B3">
      <w:pPr>
        <w:pStyle w:val="a3"/>
        <w:numPr>
          <w:ilvl w:val="0"/>
          <w:numId w:val="18"/>
        </w:numPr>
        <w:tabs>
          <w:tab w:val="left" w:pos="993"/>
        </w:tabs>
        <w:spacing w:after="60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экономистінің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 кеңес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 алу;</w:t>
      </w:r>
    </w:p>
    <w:p w:rsidR="00E571B3" w:rsidRPr="00E571B3" w:rsidRDefault="00E571B3" w:rsidP="00E571B3">
      <w:pPr>
        <w:pStyle w:val="a3"/>
        <w:numPr>
          <w:ilvl w:val="0"/>
          <w:numId w:val="18"/>
        </w:numPr>
        <w:tabs>
          <w:tab w:val="left" w:pos="993"/>
        </w:tabs>
        <w:spacing w:after="60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1B3">
        <w:rPr>
          <w:rFonts w:ascii="Times New Roman" w:hAnsi="Times New Roman" w:cs="Times New Roman"/>
          <w:sz w:val="24"/>
          <w:szCs w:val="24"/>
          <w:lang w:val="kk-KZ"/>
        </w:rPr>
        <w:t>жазбаша өтініш беру;</w:t>
      </w:r>
    </w:p>
    <w:p w:rsidR="00E571B3" w:rsidRPr="00E571B3" w:rsidRDefault="00E571B3" w:rsidP="00E571B3">
      <w:pPr>
        <w:pStyle w:val="a3"/>
        <w:numPr>
          <w:ilvl w:val="0"/>
          <w:numId w:val="18"/>
        </w:numPr>
        <w:tabs>
          <w:tab w:val="left" w:pos="993"/>
        </w:tabs>
        <w:spacing w:after="60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71B3">
        <w:rPr>
          <w:rFonts w:ascii="Times New Roman" w:hAnsi="Times New Roman" w:cs="Times New Roman"/>
          <w:sz w:val="24"/>
          <w:szCs w:val="24"/>
          <w:lang w:val="kk-KZ"/>
        </w:rPr>
        <w:t>бұрын берілген өтінішке жауап алу;</w:t>
      </w:r>
    </w:p>
    <w:p w:rsidR="00E571B3" w:rsidRPr="00E571B3" w:rsidRDefault="00E571B3" w:rsidP="00E571B3">
      <w:pPr>
        <w:pStyle w:val="a3"/>
        <w:numPr>
          <w:ilvl w:val="0"/>
          <w:numId w:val="18"/>
        </w:numPr>
        <w:tabs>
          <w:tab w:val="left" w:pos="993"/>
        </w:tabs>
        <w:spacing w:after="60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«П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>әтер бойынша түпкілікті есеп айырысуды ресімдеу»;</w:t>
      </w:r>
    </w:p>
    <w:p w:rsidR="00E571B3" w:rsidRPr="00E571B3" w:rsidRDefault="00E571B3" w:rsidP="00E571B3">
      <w:pPr>
        <w:pStyle w:val="a3"/>
        <w:numPr>
          <w:ilvl w:val="0"/>
          <w:numId w:val="18"/>
        </w:numPr>
        <w:tabs>
          <w:tab w:val="left" w:pos="993"/>
        </w:tabs>
        <w:spacing w:after="60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КО бастығына </w:t>
      </w:r>
      <w:r>
        <w:rPr>
          <w:rFonts w:ascii="Times New Roman" w:hAnsi="Times New Roman" w:cs="Times New Roman"/>
          <w:sz w:val="24"/>
          <w:szCs w:val="24"/>
          <w:lang w:val="kk-KZ"/>
        </w:rPr>
        <w:t>ЖЕҚ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көрсеткіштерін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 алу және пломбалау/пломба</w:t>
      </w:r>
      <w:r>
        <w:rPr>
          <w:rFonts w:ascii="Times New Roman" w:hAnsi="Times New Roman" w:cs="Times New Roman"/>
          <w:sz w:val="24"/>
          <w:szCs w:val="24"/>
          <w:lang w:val="kk-KZ"/>
        </w:rPr>
        <w:t>ны алып тастау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 xml:space="preserve"> бойынша қызметтер көрсетіледі.</w:t>
      </w:r>
    </w:p>
    <w:p w:rsidR="00E571B3" w:rsidRPr="00E571B3" w:rsidRDefault="00E571B3" w:rsidP="00E571B3">
      <w:pPr>
        <w:tabs>
          <w:tab w:val="left" w:pos="993"/>
        </w:tabs>
        <w:spacing w:after="60"/>
        <w:ind w:right="39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571B3">
        <w:rPr>
          <w:rFonts w:ascii="Times New Roman" w:hAnsi="Times New Roman" w:cs="Times New Roman"/>
          <w:sz w:val="24"/>
          <w:szCs w:val="24"/>
          <w:lang w:val="kk-KZ"/>
        </w:rPr>
        <w:t>ҚКО және учаскелердің ақпараттық стендтерінде коммуналдық қызмет көрсетуге қатысты ақпарат, мемлекеттік және орыс тілдерінде өтініштердің үлгілері ұсынылған.</w:t>
      </w:r>
    </w:p>
    <w:p w:rsidR="00E571B3" w:rsidRPr="006C2DCD" w:rsidRDefault="006C2DCD" w:rsidP="00E5533F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Коммуналдық қызметтер үшін төлем келесілер арқылы жүргізіледі:</w:t>
      </w:r>
    </w:p>
    <w:p w:rsidR="006C2DCD" w:rsidRPr="0047529D" w:rsidRDefault="006C2DCD" w:rsidP="0047529D">
      <w:pPr>
        <w:pStyle w:val="a3"/>
        <w:tabs>
          <w:tab w:val="left" w:pos="993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2.1 </w:t>
      </w:r>
      <w:r w:rsidRPr="0047529D">
        <w:rPr>
          <w:rFonts w:ascii="Times New Roman" w:hAnsi="Times New Roman" w:cs="Times New Roman"/>
          <w:sz w:val="24"/>
          <w:szCs w:val="24"/>
          <w:lang w:val="kk-KZ"/>
        </w:rPr>
        <w:t>ЕКО кассаларынан қолма-қол қаражатпен және POS-терминалдар арқылы. Т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ҚКО ғимаратында икемді жұмыс кестесі бар 5 касса, сондай-ақ 6 төлем терминалы орналасқан, </w:t>
      </w:r>
      <w:r w:rsidRPr="0047529D">
        <w:rPr>
          <w:rFonts w:ascii="Times New Roman" w:hAnsi="Times New Roman" w:cs="Times New Roman"/>
          <w:sz w:val="24"/>
          <w:szCs w:val="24"/>
          <w:lang w:val="kk-KZ"/>
        </w:rPr>
        <w:t>ЕКО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 учаскелерінде 6 касса және 4 терминал жұмыс істейді (барлық кассаларда және </w:t>
      </w:r>
      <w:r w:rsidR="0047529D" w:rsidRPr="0047529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>ҚКО-да орнатылған терминалдарда және учаскелерде төлем комиссиясыз жүргізіледі).</w:t>
      </w:r>
    </w:p>
    <w:p w:rsidR="006C2DCD" w:rsidRPr="0047529D" w:rsidRDefault="0047529D" w:rsidP="0047529D">
      <w:pPr>
        <w:tabs>
          <w:tab w:val="left" w:pos="567"/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2.2. Коммерциялық банктер</w:t>
      </w:r>
      <w:r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ЕКБ</w:t>
      </w:r>
      <w:r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және 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Қазпошта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Халық банкі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 банкоматтары,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Альянс Банк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Казкоммербанк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KASPI BANK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АҚ, Банк Центркредит АҚ,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Нұрбанк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>Цеснабанк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C2DCD"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АҚ, Fortebank АҚ, Ресей Жинақ Банкі АҚ, ҚР ҰБ ҚБЕО, Хоумбанктің интернет - жүйесі, сондай-ақ есептік төлем терминалдары.</w:t>
      </w:r>
    </w:p>
    <w:p w:rsidR="0047529D" w:rsidRPr="0047529D" w:rsidRDefault="0047529D" w:rsidP="0047529D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60" w:line="240" w:lineRule="auto"/>
        <w:ind w:left="0" w:right="39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29D">
        <w:rPr>
          <w:rFonts w:ascii="Times New Roman" w:hAnsi="Times New Roman" w:cs="Times New Roman"/>
          <w:b/>
          <w:sz w:val="24"/>
          <w:szCs w:val="24"/>
          <w:lang w:val="kk-KZ"/>
        </w:rPr>
        <w:t>ЕКО сайты</w:t>
      </w:r>
      <w:r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 жұмысын жалғастыруда. Ақтау қаласының тұтынушыларына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ЖЕҚ </w:t>
      </w:r>
      <w:r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көрсеткіштерін беру, коммуналдық қызметтер үшін берешекті білу, заңнамалық құжаттармен, кассалар мен </w:t>
      </w:r>
      <w:r>
        <w:rPr>
          <w:rFonts w:ascii="Times New Roman" w:hAnsi="Times New Roman" w:cs="Times New Roman"/>
          <w:sz w:val="24"/>
          <w:szCs w:val="24"/>
          <w:lang w:val="kk-KZ"/>
        </w:rPr>
        <w:t>ЕК</w:t>
      </w:r>
      <w:r w:rsidRPr="0047529D">
        <w:rPr>
          <w:rFonts w:ascii="Times New Roman" w:hAnsi="Times New Roman" w:cs="Times New Roman"/>
          <w:sz w:val="24"/>
          <w:szCs w:val="24"/>
          <w:lang w:val="kk-KZ"/>
        </w:rPr>
        <w:t xml:space="preserve">О қызметкерлерінің жұмыс кестелерімен, жиі туындайтын сұрақтарға жауап беру мүмкіндігі беріледі.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Сайтта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пайдаланушылар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саны 7000-нан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абонентті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>.</w:t>
      </w:r>
    </w:p>
    <w:p w:rsidR="0047529D" w:rsidRPr="0047529D" w:rsidRDefault="0047529D" w:rsidP="0047529D">
      <w:pPr>
        <w:pStyle w:val="a3"/>
        <w:numPr>
          <w:ilvl w:val="0"/>
          <w:numId w:val="12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47529D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proofErr w:type="gramStart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gramEnd"/>
      <w:r w:rsidRPr="0047529D">
        <w:rPr>
          <w:rFonts w:ascii="Times New Roman" w:hAnsi="Times New Roman" w:cs="Times New Roman"/>
          <w:sz w:val="24"/>
          <w:szCs w:val="24"/>
        </w:rPr>
        <w:t xml:space="preserve">ҚКО 31 319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тұтынушы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білдірді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, 3364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тіркелді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>.</w:t>
      </w:r>
    </w:p>
    <w:p w:rsidR="0047529D" w:rsidRPr="0047529D" w:rsidRDefault="0047529D" w:rsidP="0047529D">
      <w:pPr>
        <w:tabs>
          <w:tab w:val="left" w:pos="993"/>
        </w:tabs>
        <w:spacing w:after="60" w:line="240" w:lineRule="auto"/>
        <w:ind w:left="710"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4752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52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>:</w:t>
      </w:r>
    </w:p>
    <w:p w:rsidR="0047529D" w:rsidRPr="0047529D" w:rsidRDefault="0047529D" w:rsidP="0047529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коммуналдық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есептеу-861,</w:t>
      </w:r>
    </w:p>
    <w:p w:rsidR="0047529D" w:rsidRPr="0047529D" w:rsidRDefault="0047529D" w:rsidP="0047529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борышты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төлеудің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2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529D">
        <w:rPr>
          <w:rFonts w:ascii="Times New Roman" w:hAnsi="Times New Roman" w:cs="Times New Roman"/>
          <w:sz w:val="24"/>
          <w:szCs w:val="24"/>
        </w:rPr>
        <w:t>індеттемелері-563,</w:t>
      </w:r>
    </w:p>
    <w:p w:rsidR="0047529D" w:rsidRPr="0047529D" w:rsidRDefault="0047529D" w:rsidP="0047529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шығумен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есептелмеу-408,</w:t>
      </w:r>
    </w:p>
    <w:p w:rsidR="0047529D" w:rsidRPr="0047529D" w:rsidRDefault="0047529D" w:rsidP="0047529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9D">
        <w:rPr>
          <w:rFonts w:ascii="Times New Roman" w:hAnsi="Times New Roman" w:cs="Times New Roman"/>
          <w:sz w:val="24"/>
          <w:szCs w:val="24"/>
        </w:rPr>
        <w:t>өзгелері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шотты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, сот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>)-1418,</w:t>
      </w:r>
    </w:p>
    <w:p w:rsidR="0047529D" w:rsidRPr="0047529D" w:rsidRDefault="0047529D" w:rsidP="0047529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9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үйлік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9D">
        <w:rPr>
          <w:rFonts w:ascii="Times New Roman" w:hAnsi="Times New Roman" w:cs="Times New Roman"/>
          <w:sz w:val="24"/>
          <w:szCs w:val="24"/>
        </w:rPr>
        <w:t>қажеттіліктер</w:t>
      </w:r>
      <w:proofErr w:type="spellEnd"/>
      <w:r w:rsidRPr="0047529D">
        <w:rPr>
          <w:rFonts w:ascii="Times New Roman" w:hAnsi="Times New Roman" w:cs="Times New Roman"/>
          <w:sz w:val="24"/>
          <w:szCs w:val="24"/>
        </w:rPr>
        <w:t xml:space="preserve"> – 114.</w:t>
      </w:r>
    </w:p>
    <w:p w:rsidR="0047529D" w:rsidRPr="00CD36E4" w:rsidRDefault="0047529D" w:rsidP="0047529D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C94C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Тұтынушыларға жазбаша өтініштерге жауаптар заңнамада белгіленген мерзімде (15 күн)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>ҚКО үй-жайында беріледі.</w:t>
      </w:r>
    </w:p>
    <w:p w:rsidR="0047529D" w:rsidRPr="00CD36E4" w:rsidRDefault="0047529D" w:rsidP="0047529D">
      <w:pPr>
        <w:pStyle w:val="a3"/>
        <w:numPr>
          <w:ilvl w:val="0"/>
          <w:numId w:val="12"/>
        </w:numPr>
        <w:tabs>
          <w:tab w:val="left" w:pos="0"/>
        </w:tabs>
        <w:spacing w:after="60" w:line="240" w:lineRule="auto"/>
        <w:ind w:left="0" w:right="397" w:firstLine="7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Тұтынушыларға қолайлы болу үшін апта сайын жұма күні сағат 14.00-ден 17.30-ға дейін алдын ала жазылу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ЕК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О бастығымен жеке қабылдау жүргізіледі және күн сайын тұтынушыларда туындаған мәселелерді түсіндіру үшін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>ҚКО экономист қабылдайды.</w:t>
      </w:r>
    </w:p>
    <w:p w:rsidR="0047529D" w:rsidRPr="00CD36E4" w:rsidRDefault="0047529D" w:rsidP="00C94C0D">
      <w:pPr>
        <w:pStyle w:val="a3"/>
        <w:numPr>
          <w:ilvl w:val="0"/>
          <w:numId w:val="19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ы жеке қабылдауда </w:t>
      </w:r>
      <w:r w:rsidR="00C94C0D" w:rsidRPr="00CD36E4">
        <w:rPr>
          <w:rFonts w:ascii="Times New Roman" w:hAnsi="Times New Roman" w:cs="Times New Roman"/>
          <w:sz w:val="24"/>
          <w:szCs w:val="24"/>
          <w:lang w:val="kk-KZ"/>
        </w:rPr>
        <w:t xml:space="preserve">тұтынушылар </w:t>
      </w:r>
      <w:r w:rsidR="00C94C0D"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саны </w:t>
      </w:r>
      <w:r w:rsidRPr="00CD36E4">
        <w:rPr>
          <w:rFonts w:ascii="Times New Roman" w:hAnsi="Times New Roman" w:cs="Times New Roman"/>
          <w:sz w:val="24"/>
          <w:szCs w:val="24"/>
          <w:lang w:val="kk-KZ"/>
        </w:rPr>
        <w:t>- 1280 адам қабылданды, оның ішінде:</w:t>
      </w:r>
    </w:p>
    <w:p w:rsidR="00C94C0D" w:rsidRPr="00C94C0D" w:rsidRDefault="0047529D" w:rsidP="00C94C0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C94C0D">
        <w:rPr>
          <w:rFonts w:ascii="Times New Roman" w:hAnsi="Times New Roman" w:cs="Times New Roman"/>
          <w:sz w:val="24"/>
          <w:szCs w:val="24"/>
        </w:rPr>
        <w:t xml:space="preserve">198 </w:t>
      </w: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берешек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>;</w:t>
      </w:r>
    </w:p>
    <w:p w:rsidR="00C94C0D" w:rsidRPr="00C94C0D" w:rsidRDefault="0047529D" w:rsidP="00C94C0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Коммуналдық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0D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94C0D">
        <w:rPr>
          <w:rFonts w:ascii="Times New Roman" w:hAnsi="Times New Roman" w:cs="Times New Roman"/>
          <w:sz w:val="24"/>
          <w:szCs w:val="24"/>
        </w:rPr>
        <w:t xml:space="preserve"> 798;</w:t>
      </w:r>
    </w:p>
    <w:p w:rsidR="00C94C0D" w:rsidRDefault="0047529D" w:rsidP="00C94C0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C0D">
        <w:rPr>
          <w:rFonts w:ascii="Times New Roman" w:hAnsi="Times New Roman" w:cs="Times New Roman"/>
          <w:sz w:val="24"/>
          <w:szCs w:val="24"/>
          <w:lang w:val="kk-KZ"/>
        </w:rPr>
        <w:t>96 басқалар бойынша (меншік нысандарының өзгеру</w:t>
      </w:r>
      <w:r w:rsidR="00C94C0D">
        <w:rPr>
          <w:rFonts w:ascii="Times New Roman" w:hAnsi="Times New Roman" w:cs="Times New Roman"/>
          <w:sz w:val="24"/>
          <w:szCs w:val="24"/>
          <w:lang w:val="kk-KZ"/>
        </w:rPr>
        <w:t>і, 2 дербес шот ашу, сот шешімі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 );</w:t>
      </w:r>
    </w:p>
    <w:p w:rsidR="00C94C0D" w:rsidRDefault="00C94C0D" w:rsidP="00C94C0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ЖҮМ</w:t>
      </w:r>
      <w:r w:rsidR="0047529D"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9D" w:rsidRPr="00C94C0D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="0047529D" w:rsidRP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9D" w:rsidRPr="00C94C0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7529D" w:rsidRPr="00C94C0D">
        <w:rPr>
          <w:rFonts w:ascii="Times New Roman" w:hAnsi="Times New Roman" w:cs="Times New Roman"/>
          <w:sz w:val="24"/>
          <w:szCs w:val="24"/>
        </w:rPr>
        <w:t xml:space="preserve"> 74;</w:t>
      </w:r>
    </w:p>
    <w:p w:rsidR="0047529D" w:rsidRPr="00C94C0D" w:rsidRDefault="0047529D" w:rsidP="00C94C0D">
      <w:pPr>
        <w:pStyle w:val="a3"/>
        <w:numPr>
          <w:ilvl w:val="0"/>
          <w:numId w:val="18"/>
        </w:num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94C0D">
        <w:rPr>
          <w:rFonts w:ascii="Times New Roman" w:hAnsi="Times New Roman" w:cs="Times New Roman"/>
          <w:sz w:val="24"/>
          <w:szCs w:val="24"/>
        </w:rPr>
        <w:t>Жылу</w:t>
      </w:r>
      <w:proofErr w:type="spellEnd"/>
      <w:r w:rsid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C0D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="00C9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C0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C94C0D">
        <w:rPr>
          <w:rFonts w:ascii="Times New Roman" w:hAnsi="Times New Roman" w:cs="Times New Roman"/>
          <w:sz w:val="24"/>
          <w:szCs w:val="24"/>
        </w:rPr>
        <w:t xml:space="preserve"> 114</w:t>
      </w:r>
      <w:r w:rsidR="00C94C0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94C0D" w:rsidRDefault="00C94C0D" w:rsidP="00C94C0D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7529D" w:rsidRPr="00C94C0D">
        <w:rPr>
          <w:rFonts w:ascii="Times New Roman" w:hAnsi="Times New Roman" w:cs="Times New Roman"/>
          <w:sz w:val="24"/>
          <w:szCs w:val="24"/>
          <w:lang w:val="kk-KZ"/>
        </w:rPr>
        <w:t>Барлық өтініштер бойынша тиісті шаралар қабылданып, заңнамада белгіленген мерзімде жауаптар берілді.</w:t>
      </w:r>
    </w:p>
    <w:p w:rsidR="00102C0F" w:rsidRDefault="00C94C0D" w:rsidP="00C94C0D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6</w:t>
      </w:r>
      <w:r w:rsidR="00102C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>2018 жылы тұтынушылардың өтініші бойынша жергілікті жерде комиссиялық шешім қабылдау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нда ай сайын екінші бейсенбіде «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>МАЭК-Қазатомөнеркәсіп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 ЖШС және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>Ақтау қалалық тұрғын үй инспекциясы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 ММ басшылығының,</w:t>
      </w:r>
      <w:r w:rsidR="00102C0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>КЖСА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 МКК және </w:t>
      </w:r>
      <w:r>
        <w:rPr>
          <w:rFonts w:ascii="Times New Roman" w:hAnsi="Times New Roman" w:cs="Times New Roman"/>
          <w:sz w:val="24"/>
          <w:szCs w:val="24"/>
          <w:lang w:val="kk-KZ"/>
        </w:rPr>
        <w:t>«АЭЖ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02C0F">
        <w:rPr>
          <w:rFonts w:ascii="Times New Roman" w:hAnsi="Times New Roman" w:cs="Times New Roman"/>
          <w:sz w:val="24"/>
          <w:szCs w:val="24"/>
          <w:lang w:val="kk-KZ"/>
        </w:rPr>
        <w:t>МКК энергия беруші ұйымдар басшыларының</w:t>
      </w:r>
      <w:r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 қатысуымен Ашық есік күні өткізілді. Осы іс-шара аясында 134 тұт</w:t>
      </w:r>
      <w:r w:rsidR="00102C0F">
        <w:rPr>
          <w:rFonts w:ascii="Times New Roman" w:hAnsi="Times New Roman" w:cs="Times New Roman"/>
          <w:sz w:val="24"/>
          <w:szCs w:val="24"/>
          <w:lang w:val="kk-KZ"/>
        </w:rPr>
        <w:t>ынушылардың өтініштері қаралды.</w:t>
      </w:r>
    </w:p>
    <w:p w:rsidR="00C94C0D" w:rsidRDefault="00102C0F" w:rsidP="00C94C0D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02C0F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2018 </w:t>
      </w:r>
      <w:r w:rsidR="00C94C0D" w:rsidRPr="00C94C0D">
        <w:rPr>
          <w:rFonts w:ascii="Times New Roman" w:hAnsi="Times New Roman" w:cs="Times New Roman"/>
          <w:sz w:val="24"/>
          <w:szCs w:val="24"/>
          <w:lang w:val="kk-KZ"/>
        </w:rPr>
        <w:t>жылы медиа-іс-шаралар (баспасөз ту</w:t>
      </w:r>
      <w:r>
        <w:rPr>
          <w:rFonts w:ascii="Times New Roman" w:hAnsi="Times New Roman" w:cs="Times New Roman"/>
          <w:sz w:val="24"/>
          <w:szCs w:val="24"/>
          <w:lang w:val="kk-KZ"/>
        </w:rPr>
        <w:t>ры, дөңгелек үстел), сондай-ақ «</w:t>
      </w:r>
      <w:r w:rsidR="00C94C0D" w:rsidRPr="00C94C0D">
        <w:rPr>
          <w:rFonts w:ascii="Times New Roman" w:hAnsi="Times New Roman" w:cs="Times New Roman"/>
          <w:sz w:val="24"/>
          <w:szCs w:val="24"/>
          <w:lang w:val="kk-KZ"/>
        </w:rPr>
        <w:t>МАЭК-Қазатомөнеркәсіп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94C0D" w:rsidRPr="00C94C0D">
        <w:rPr>
          <w:rFonts w:ascii="Times New Roman" w:hAnsi="Times New Roman" w:cs="Times New Roman"/>
          <w:sz w:val="24"/>
          <w:szCs w:val="24"/>
          <w:lang w:val="kk-KZ"/>
        </w:rPr>
        <w:t xml:space="preserve"> ЖШС-нің жылу беру кезеңіне дайындығы, жазғы кезеңде ыстық сумен жабдықтау, жалпы үй мұқтаждарына есептеу бойынша мәселелерді жариялаумен жергілікті электрондық БАҚ-та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C94C0D" w:rsidRPr="00C94C0D">
        <w:rPr>
          <w:rFonts w:ascii="Times New Roman" w:hAnsi="Times New Roman" w:cs="Times New Roman"/>
          <w:sz w:val="24"/>
          <w:szCs w:val="24"/>
          <w:lang w:val="kk-KZ"/>
        </w:rPr>
        <w:t>арияланымдар өткізілді.</w:t>
      </w:r>
    </w:p>
    <w:p w:rsidR="00C94C0D" w:rsidRDefault="00C94C0D" w:rsidP="00C94C0D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4C0D" w:rsidRDefault="00C94C0D" w:rsidP="00C94C0D">
      <w:pPr>
        <w:tabs>
          <w:tab w:val="left" w:pos="993"/>
        </w:tabs>
        <w:spacing w:after="60" w:line="240" w:lineRule="auto"/>
        <w:ind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533F" w:rsidRPr="00CD36E4" w:rsidRDefault="00E5533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D36E4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1D402D" w:rsidRPr="00CD36E4" w:rsidRDefault="001D402D" w:rsidP="001D5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47F4" w:rsidRPr="00F547F4" w:rsidRDefault="00F547F4" w:rsidP="00F5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Уәкілетті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органның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ведомствосы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бекіткен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тарифті</w:t>
      </w:r>
      <w:proofErr w:type="gram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spellEnd"/>
      <w:proofErr w:type="gram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сметаны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есепті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кезеңде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баптар бойынша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орындау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туралы</w:t>
      </w:r>
      <w:proofErr w:type="spellEnd"/>
      <w:r w:rsidRPr="00F547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70"/>
        <w:gridCol w:w="2899"/>
        <w:gridCol w:w="1338"/>
        <w:gridCol w:w="1817"/>
        <w:gridCol w:w="1607"/>
        <w:gridCol w:w="2316"/>
      </w:tblGrid>
      <w:tr w:rsidR="00DA0E6A" w:rsidRPr="00FB0E39" w:rsidTr="00DA0E6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7F4" w:rsidRDefault="00F547F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абиғи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реттеліп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тарифтердің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шекті деңгейін бекіту ережелеріне</w:t>
            </w:r>
          </w:p>
          <w:p w:rsidR="00F547F4" w:rsidRPr="00F547F4" w:rsidRDefault="00F547F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Қосымша</w:t>
            </w:r>
          </w:p>
          <w:p w:rsidR="00F547F4" w:rsidRDefault="00F547F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547F4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547F4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547F4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D33DED" w:rsidRDefault="00DA0E6A" w:rsidP="00D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547F4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547F4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F547F4">
        <w:trPr>
          <w:trHeight w:val="25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A0E6A">
        <w:trPr>
          <w:trHeight w:val="285"/>
        </w:trPr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F4" w:rsidRPr="00FB0E39" w:rsidTr="00F547F4">
        <w:trPr>
          <w:trHeight w:val="862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4" w:rsidRPr="00F547F4" w:rsidRDefault="00F547F4" w:rsidP="00F5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F547F4">
              <w:rPr>
                <w:rFonts w:ascii="Times New Roman" w:hAnsi="Times New Roman" w:cs="Times New Roman"/>
              </w:rPr>
              <w:t>МАЭК-</w:t>
            </w:r>
            <w:proofErr w:type="spellStart"/>
            <w:r w:rsidRPr="00F547F4">
              <w:rPr>
                <w:rFonts w:ascii="Times New Roman" w:hAnsi="Times New Roman" w:cs="Times New Roman"/>
              </w:rPr>
              <w:t>Қазатомөнеркәсіп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F547F4">
              <w:rPr>
                <w:rFonts w:ascii="Times New Roman" w:hAnsi="Times New Roman" w:cs="Times New Roman"/>
              </w:rPr>
              <w:t xml:space="preserve"> ЖШС-</w:t>
            </w:r>
            <w:proofErr w:type="spellStart"/>
            <w:r w:rsidRPr="00F547F4">
              <w:rPr>
                <w:rFonts w:ascii="Times New Roman" w:hAnsi="Times New Roman" w:cs="Times New Roman"/>
              </w:rPr>
              <w:t>нің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ауыз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Pr="00F547F4">
              <w:rPr>
                <w:rFonts w:ascii="Times New Roman" w:hAnsi="Times New Roman" w:cs="Times New Roman"/>
              </w:rPr>
              <w:t>өндіруге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тарифтік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сметаның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орындалуы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мәліметі</w:t>
            </w:r>
            <w:proofErr w:type="spellEnd"/>
          </w:p>
        </w:tc>
      </w:tr>
      <w:tr w:rsidR="00F547F4" w:rsidRPr="00FB0E39" w:rsidTr="00CD36E4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7F4" w:rsidRPr="00F547F4" w:rsidRDefault="00F547F4" w:rsidP="00F547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47F4">
              <w:rPr>
                <w:rFonts w:ascii="Times New Roman" w:hAnsi="Times New Roman" w:cs="Times New Roman"/>
              </w:rPr>
              <w:t>Есепті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4">
              <w:rPr>
                <w:rFonts w:ascii="Times New Roman" w:hAnsi="Times New Roman" w:cs="Times New Roman"/>
              </w:rPr>
              <w:t>кезең</w:t>
            </w:r>
            <w:proofErr w:type="spellEnd"/>
            <w:r w:rsidRPr="00F547F4">
              <w:rPr>
                <w:rFonts w:ascii="Times New Roman" w:hAnsi="Times New Roman" w:cs="Times New Roman"/>
              </w:rPr>
              <w:t xml:space="preserve"> 2018ж.</w:t>
            </w:r>
          </w:p>
        </w:tc>
      </w:tr>
    </w:tbl>
    <w:p w:rsidR="00DA0E6A" w:rsidRPr="00FB0E39" w:rsidRDefault="00DA0E6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700"/>
        <w:gridCol w:w="4280"/>
        <w:gridCol w:w="1140"/>
        <w:gridCol w:w="1600"/>
        <w:gridCol w:w="1600"/>
        <w:gridCol w:w="1540"/>
      </w:tblGrid>
      <w:tr w:rsidR="00E5533F" w:rsidRPr="00E5533F" w:rsidTr="00E5533F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547F4" w:rsidRDefault="00F547F4" w:rsidP="00F5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proofErr w:type="gramEnd"/>
            <w:r w:rsidR="00E5533F" w:rsidRPr="00E553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F547F4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 атауы</w:t>
            </w:r>
            <w:r w:rsidR="00E5533F" w:rsidRPr="00E5533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547F4" w:rsidRDefault="00F547F4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F24282" w:rsidRDefault="00F2428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жылға бекітілген тарифтік сметада көзделген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F24282" w:rsidRDefault="00F2428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жылғы тарифтік сметаның нақты қалыптасқан көрсеткіштері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2" w:rsidRDefault="00F2428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5533F" w:rsidRPr="00E5533F" w:rsidRDefault="00F24282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Ауытқу </w:t>
            </w:r>
            <w:r w:rsidR="00E5533F" w:rsidRPr="00E5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E5533F" w:rsidRPr="00E5533F" w:rsidTr="00E5533F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F24282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E5533F"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1 773 691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2 441 106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444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1 184 350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1 797 230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367 747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431 942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41 959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-21%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444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444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179 635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178 784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41444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68 484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65 035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157 479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163 730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1 999 654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2 669 871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34%</w:t>
            </w:r>
          </w:p>
        </w:tc>
      </w:tr>
      <w:tr w:rsidR="00E5533F" w:rsidRPr="00E5533F" w:rsidTr="00E5533F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41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="00E5533F"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="00E5533F"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-735 520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-1341%</w:t>
            </w:r>
          </w:p>
        </w:tc>
      </w:tr>
      <w:tr w:rsidR="00E5533F" w:rsidRPr="00E5533F" w:rsidTr="00E5533F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414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Қ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олданыс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қа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реттелетін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базасы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>А</w:t>
            </w:r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РБ)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851 351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416 315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-51%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2 058 921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1 934 351,00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41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41444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E5533F"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10 827,98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11%</w:t>
            </w:r>
          </w:p>
        </w:tc>
      </w:tr>
      <w:tr w:rsidR="00E5533F" w:rsidRPr="00E5533F" w:rsidTr="00E553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41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 w:rsid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533F" w:rsidRDefault="00E5533F" w:rsidP="00E5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-15%</w:t>
            </w:r>
          </w:p>
        </w:tc>
      </w:tr>
    </w:tbl>
    <w:p w:rsidR="00D96FC8" w:rsidRPr="00FB0E39" w:rsidRDefault="00D96FC8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33F" w:rsidRDefault="00E55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75D" w:rsidRPr="00FB0E39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53"/>
        <w:gridCol w:w="3054"/>
        <w:gridCol w:w="1237"/>
        <w:gridCol w:w="1567"/>
        <w:gridCol w:w="2165"/>
        <w:gridCol w:w="2119"/>
      </w:tblGrid>
      <w:tr w:rsidR="0041444F" w:rsidRPr="00FB0E39" w:rsidTr="00CD36E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абиғи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реттеліп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A5449"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тарифтердің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</w:t>
            </w:r>
            <w:proofErr w:type="spellEnd"/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шекті деңгейін бекіту ережелеріне</w:t>
            </w:r>
          </w:p>
        </w:tc>
      </w:tr>
      <w:tr w:rsidR="0041444F" w:rsidRPr="00FB0E39" w:rsidTr="00CD36E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A54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</w:t>
            </w:r>
          </w:p>
        </w:tc>
      </w:tr>
      <w:tr w:rsidR="0041444F" w:rsidRPr="00FB0E39" w:rsidTr="0041444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44F" w:rsidRPr="00FB0E39" w:rsidTr="0041444F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44F" w:rsidRPr="00FB0E39" w:rsidTr="0041444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44F" w:rsidRPr="00FB0E39" w:rsidTr="00CD36E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44F" w:rsidRPr="00FB0E39" w:rsidTr="0041444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4F" w:rsidRPr="00FB0E39" w:rsidRDefault="0041444F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4F" w:rsidRPr="006A5449" w:rsidRDefault="0041444F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4188" w:rsidRPr="00FB0E39" w:rsidTr="0041444F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188" w:rsidRPr="00FB0E39" w:rsidRDefault="002F4188" w:rsidP="002F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4F" w:rsidRPr="00FB0E39" w:rsidTr="00CD36E4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647" w:type="dxa"/>
              <w:tblInd w:w="93" w:type="dxa"/>
              <w:tblLook w:val="04A0" w:firstRow="1" w:lastRow="0" w:firstColumn="1" w:lastColumn="0" w:noHBand="0" w:noVBand="1"/>
            </w:tblPr>
            <w:tblGrid>
              <w:gridCol w:w="10647"/>
            </w:tblGrid>
            <w:tr w:rsidR="0041444F" w:rsidRPr="007A7511" w:rsidTr="00CD36E4">
              <w:trPr>
                <w:trHeight w:val="862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444F" w:rsidRPr="007A7511" w:rsidRDefault="0041444F" w:rsidP="00CD36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7511">
                    <w:rPr>
                      <w:rFonts w:ascii="Times New Roman" w:hAnsi="Times New Roman" w:cs="Times New Roman"/>
                      <w:lang w:val="kk-KZ"/>
                    </w:rPr>
                    <w:t>«</w:t>
                  </w:r>
                  <w:r w:rsidRPr="007A7511">
                    <w:rPr>
                      <w:rFonts w:ascii="Times New Roman" w:hAnsi="Times New Roman" w:cs="Times New Roman"/>
                    </w:rPr>
                    <w:t>МАЭК-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Қазатомөнеркәсіп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  <w:lang w:val="kk-KZ"/>
                    </w:rPr>
                    <w:t>»</w:t>
                  </w:r>
                  <w:r w:rsidRPr="007A7511">
                    <w:rPr>
                      <w:rFonts w:ascii="Times New Roman" w:hAnsi="Times New Roman" w:cs="Times New Roman"/>
                    </w:rPr>
                    <w:t xml:space="preserve"> ЖШС-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нің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ауыз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су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өндіруге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арналған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тарифтік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сметаның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орындалуы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туралы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мәліметі</w:t>
                  </w:r>
                  <w:proofErr w:type="spellEnd"/>
                </w:p>
              </w:tc>
            </w:tr>
            <w:tr w:rsidR="0041444F" w:rsidRPr="007A7511" w:rsidTr="00CD36E4">
              <w:trPr>
                <w:trHeight w:val="330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444F" w:rsidRPr="007A7511" w:rsidRDefault="0041444F" w:rsidP="00CD36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Есепті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7511">
                    <w:rPr>
                      <w:rFonts w:ascii="Times New Roman" w:hAnsi="Times New Roman" w:cs="Times New Roman"/>
                    </w:rPr>
                    <w:t>кезең</w:t>
                  </w:r>
                  <w:proofErr w:type="spellEnd"/>
                  <w:r w:rsidRPr="007A7511">
                    <w:rPr>
                      <w:rFonts w:ascii="Times New Roman" w:hAnsi="Times New Roman" w:cs="Times New Roman"/>
                    </w:rPr>
                    <w:t xml:space="preserve"> 2018ж.</w:t>
                  </w:r>
                </w:p>
              </w:tc>
            </w:tr>
          </w:tbl>
          <w:p w:rsidR="0041444F" w:rsidRDefault="0041444F"/>
        </w:tc>
      </w:tr>
      <w:tr w:rsidR="0041444F" w:rsidRPr="00FB0E39" w:rsidTr="0041444F">
        <w:trPr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4F" w:rsidRPr="0041444F" w:rsidRDefault="0041444F">
            <w:pPr>
              <w:rPr>
                <w:lang w:val="kk-KZ"/>
              </w:rPr>
            </w:pPr>
          </w:p>
        </w:tc>
      </w:tr>
      <w:tr w:rsidR="0041444F" w:rsidRPr="00FB0E39" w:rsidTr="0041444F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44F" w:rsidRPr="0041444F" w:rsidRDefault="0041444F">
            <w:pPr>
              <w:rPr>
                <w:lang w:val="kk-KZ"/>
              </w:rPr>
            </w:pPr>
          </w:p>
        </w:tc>
      </w:tr>
    </w:tbl>
    <w:p w:rsidR="00D80809" w:rsidRPr="0041444F" w:rsidRDefault="00D80809" w:rsidP="00D80809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700"/>
        <w:gridCol w:w="4000"/>
        <w:gridCol w:w="1180"/>
        <w:gridCol w:w="1580"/>
        <w:gridCol w:w="1680"/>
        <w:gridCol w:w="1480"/>
      </w:tblGrid>
      <w:tr w:rsidR="009F02C0" w:rsidRPr="009F02C0" w:rsidTr="009F02C0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444F" w:rsidRDefault="0041444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41444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 атауы</w:t>
            </w:r>
            <w:r w:rsidR="009F02C0" w:rsidRPr="009F02C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444F" w:rsidRDefault="0041444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41444F" w:rsidRDefault="0041444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жылға бекітілген тарифтік сметада көзделген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41444F" w:rsidRDefault="0041444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жылғы тарифтік сметаның нақты қалыптасқан көрсеткіштері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41444F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Ауытқу</w:t>
            </w:r>
            <w:r w:rsidR="009F02C0"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F02C0" w:rsidRPr="009F02C0" w:rsidTr="009F02C0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F02C0" w:rsidRPr="009F02C0" w:rsidTr="009F02C0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D33DED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D33DED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115 093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74%</w:t>
            </w:r>
          </w:p>
        </w:tc>
      </w:tr>
      <w:tr w:rsidR="00D33DED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E5533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94 347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98%</w:t>
            </w:r>
          </w:p>
        </w:tc>
      </w:tr>
      <w:tr w:rsidR="00D33DED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33DED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61%</w:t>
            </w:r>
          </w:p>
        </w:tc>
      </w:tr>
      <w:tr w:rsidR="00D33DED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E5533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D33DED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-24%</w:t>
            </w:r>
          </w:p>
        </w:tc>
      </w:tr>
      <w:tr w:rsidR="000E44C2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E5533F" w:rsidRDefault="000E44C2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Өткізу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қызметін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ұ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стау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ға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0E44C2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E5533F" w:rsidRDefault="000E44C2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E44C2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E5533F" w:rsidRDefault="000E44C2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379 504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0E44C2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E5533F" w:rsidRDefault="000E44C2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50 948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-236 523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C2" w:rsidRPr="009F02C0" w:rsidRDefault="000E44C2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-564%</w:t>
            </w:r>
          </w:p>
        </w:tc>
      </w:tr>
      <w:tr w:rsidR="00CD36E4" w:rsidRPr="009F02C0" w:rsidTr="009F02C0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E5533F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Қ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олданыс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қа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реттелетін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базасы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>А</w:t>
            </w:r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РБ)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-71%</w:t>
            </w:r>
          </w:p>
        </w:tc>
      </w:tr>
      <w:tr w:rsidR="00CD36E4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E5533F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E4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-53%</w:t>
            </w:r>
          </w:p>
        </w:tc>
      </w:tr>
      <w:tr w:rsidR="009F02C0" w:rsidRPr="009F02C0" w:rsidTr="009F02C0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5 528,69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3 016,52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-45%</w:t>
            </w:r>
          </w:p>
        </w:tc>
      </w:tr>
      <w:tr w:rsidR="009F02C0" w:rsidRPr="009F02C0" w:rsidTr="009F02C0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-14%</w:t>
            </w:r>
          </w:p>
        </w:tc>
      </w:tr>
    </w:tbl>
    <w:p w:rsidR="009F02C0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Default="009F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p w:rsidR="007C275D" w:rsidRPr="00FB0E39" w:rsidRDefault="007C275D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8"/>
        <w:gridCol w:w="562"/>
        <w:gridCol w:w="3220"/>
        <w:gridCol w:w="1407"/>
        <w:gridCol w:w="1817"/>
        <w:gridCol w:w="1607"/>
        <w:gridCol w:w="2034"/>
        <w:gridCol w:w="33"/>
      </w:tblGrid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абиғи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реттеліп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64480"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тарифтердің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шекті деңгейін бекіту ережелеріне</w:t>
            </w:r>
          </w:p>
        </w:tc>
      </w:tr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</w:t>
            </w:r>
          </w:p>
        </w:tc>
      </w:tr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DED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DED" w:rsidRPr="00FB0E39" w:rsidRDefault="00D33DED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DED" w:rsidRPr="00F64480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0E6A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D33DED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kk-KZ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6A" w:rsidRPr="00FB0E39" w:rsidTr="00D33DED">
        <w:trPr>
          <w:trHeight w:val="30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ED" w:rsidRPr="007A7511" w:rsidTr="00D33DED">
        <w:trPr>
          <w:gridBefore w:val="1"/>
          <w:gridAfter w:val="1"/>
          <w:wBefore w:w="108" w:type="dxa"/>
          <w:wAfter w:w="33" w:type="dxa"/>
          <w:trHeight w:val="862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DED" w:rsidRPr="00D33DED" w:rsidRDefault="00D33DED" w:rsidP="00D3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DED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D33DED">
              <w:rPr>
                <w:rFonts w:ascii="Times New Roman" w:hAnsi="Times New Roman" w:cs="Times New Roman"/>
                <w:b/>
              </w:rPr>
              <w:t>МАЭК-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Қазатомөнеркәсіп</w:t>
            </w:r>
            <w:proofErr w:type="spellEnd"/>
            <w:r w:rsidRPr="00D33DED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D33DED">
              <w:rPr>
                <w:rFonts w:ascii="Times New Roman" w:hAnsi="Times New Roman" w:cs="Times New Roman"/>
                <w:b/>
              </w:rPr>
              <w:t xml:space="preserve"> ЖШС-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нің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r w:rsidRPr="00D33DED">
              <w:rPr>
                <w:rFonts w:ascii="Times New Roman" w:hAnsi="Times New Roman" w:cs="Times New Roman"/>
                <w:b/>
                <w:lang w:val="kk-KZ"/>
              </w:rPr>
              <w:t>жылу энергиясын</w:t>
            </w:r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өндіруге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арналған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тарифтік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сметаның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орындалуы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мәліметі</w:t>
            </w:r>
            <w:proofErr w:type="spellEnd"/>
          </w:p>
        </w:tc>
      </w:tr>
      <w:tr w:rsidR="00D33DED" w:rsidRPr="007A7511" w:rsidTr="00D33DED">
        <w:trPr>
          <w:gridBefore w:val="1"/>
          <w:gridAfter w:val="1"/>
          <w:wBefore w:w="108" w:type="dxa"/>
          <w:wAfter w:w="33" w:type="dxa"/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DED" w:rsidRPr="00D33DED" w:rsidRDefault="00D33DED" w:rsidP="00CD36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3DED">
              <w:rPr>
                <w:rFonts w:ascii="Times New Roman" w:hAnsi="Times New Roman" w:cs="Times New Roman"/>
                <w:b/>
              </w:rPr>
              <w:t>Есепті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кезең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2018ж.</w:t>
            </w:r>
          </w:p>
        </w:tc>
      </w:tr>
    </w:tbl>
    <w:p w:rsidR="00D80809" w:rsidRPr="00D33DED" w:rsidRDefault="00D80809" w:rsidP="00D80809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0888" w:type="dxa"/>
        <w:tblInd w:w="93" w:type="dxa"/>
        <w:tblLook w:val="04A0" w:firstRow="1" w:lastRow="0" w:firstColumn="1" w:lastColumn="0" w:noHBand="0" w:noVBand="1"/>
      </w:tblPr>
      <w:tblGrid>
        <w:gridCol w:w="618"/>
        <w:gridCol w:w="4217"/>
        <w:gridCol w:w="1239"/>
        <w:gridCol w:w="1683"/>
        <w:gridCol w:w="1636"/>
        <w:gridCol w:w="1495"/>
      </w:tblGrid>
      <w:tr w:rsidR="009F02C0" w:rsidRPr="009F02C0" w:rsidTr="009F02C0">
        <w:trPr>
          <w:trHeight w:val="16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33DED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 атауы</w:t>
            </w:r>
            <w:r w:rsidR="009F02C0" w:rsidRPr="009F02C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D33DED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D36E4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жылға бекітілген тарифтік сметада көзделген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D36E4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жылғы тарифтік сметаның нақты қалыптасқан көрсеткіштері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D33DED" w:rsidP="00D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Ауытқу</w:t>
            </w:r>
            <w:r w:rsidR="009F02C0"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F02C0" w:rsidRPr="009F02C0" w:rsidTr="009F02C0">
        <w:trPr>
          <w:trHeight w:val="2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F02C0" w:rsidRPr="009F02C0" w:rsidTr="009F02C0">
        <w:trPr>
          <w:trHeight w:val="52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D33DED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D33DED" w:rsidP="00D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2 090 052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3 487 508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67%</w:t>
            </w:r>
          </w:p>
        </w:tc>
      </w:tr>
      <w:tr w:rsidR="00D33DED" w:rsidRPr="009F02C0" w:rsidTr="009F02C0">
        <w:trPr>
          <w:trHeight w:val="2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1 803 475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3 115 841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73%</w:t>
            </w:r>
          </w:p>
        </w:tc>
      </w:tr>
      <w:tr w:rsidR="00D33DED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E5533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214 573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240 567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-49%</w:t>
            </w:r>
          </w:p>
        </w:tc>
      </w:tr>
      <w:tr w:rsidR="00D33DED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D33DED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105 576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388%</w:t>
            </w:r>
          </w:p>
        </w:tc>
      </w:tr>
      <w:tr w:rsidR="00D33DED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E5533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240 827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-4%</w:t>
            </w:r>
          </w:p>
        </w:tc>
      </w:tr>
      <w:tr w:rsidR="00D33DED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240 827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>3 719 705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E5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-1 827 642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-1513%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Қ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олданыс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қа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реттелетін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базасы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kk-KZ" w:eastAsia="ru-RU"/>
              </w:rPr>
              <w:t>А</w:t>
            </w:r>
            <w:r w:rsidRPr="004144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РБ)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2 087 318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3 597 921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-"-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2 460 225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1 892 063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мың</w:t>
            </w:r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.Гкал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992,728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-6%</w:t>
            </w:r>
          </w:p>
        </w:tc>
      </w:tr>
      <w:tr w:rsidR="009F02C0" w:rsidRPr="009F02C0" w:rsidTr="009F02C0">
        <w:trPr>
          <w:trHeight w:val="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алым</w:t>
            </w:r>
            <w:proofErr w:type="gram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ставкасы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(ҚҚС-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proofErr w:type="spellStart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</w:t>
            </w:r>
            <w:proofErr w:type="spellEnd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2 034,44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-18%</w:t>
            </w:r>
          </w:p>
        </w:tc>
      </w:tr>
    </w:tbl>
    <w:p w:rsidR="009F02C0" w:rsidRDefault="009F02C0" w:rsidP="00D80809">
      <w:pPr>
        <w:spacing w:after="0" w:line="240" w:lineRule="auto"/>
        <w:rPr>
          <w:rFonts w:ascii="Times New Roman" w:hAnsi="Times New Roman" w:cs="Times New Roman"/>
        </w:rPr>
      </w:pPr>
    </w:p>
    <w:p w:rsidR="009F02C0" w:rsidRDefault="009F0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"/>
        <w:gridCol w:w="551"/>
        <w:gridCol w:w="4108"/>
        <w:gridCol w:w="1353"/>
        <w:gridCol w:w="1780"/>
        <w:gridCol w:w="1754"/>
        <w:gridCol w:w="1101"/>
        <w:gridCol w:w="140"/>
      </w:tblGrid>
      <w:tr w:rsidR="00CD36E4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CD36E4" w:rsidRDefault="00CD36E4" w:rsidP="00CD36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CD36E4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CD36E4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CD36E4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E4" w:rsidRPr="00F6448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6E4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6E4" w:rsidRPr="00F6448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абиғи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субъектілерінің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реттеліп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тауарларына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жұмыстарына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64480"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тарифтердің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шекті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тарифтік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сметалар</w:t>
            </w:r>
            <w:proofErr w:type="spellEnd"/>
            <w:r w:rsidRPr="00F64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шекті деңгейін бекіту ережелеріне</w:t>
            </w:r>
          </w:p>
        </w:tc>
      </w:tr>
      <w:tr w:rsidR="00CD36E4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E4" w:rsidRPr="00F6448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Қосымша</w:t>
            </w:r>
          </w:p>
        </w:tc>
      </w:tr>
      <w:tr w:rsidR="00CD36E4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E4" w:rsidRPr="00F6448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6E4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E4" w:rsidRPr="00F6448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6E4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6E4" w:rsidRPr="00FB0E39" w:rsidRDefault="00CD36E4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6E4" w:rsidRPr="00F64480" w:rsidRDefault="00CD36E4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0E6A" w:rsidRPr="00FB0E39" w:rsidTr="00CD36E4">
        <w:trPr>
          <w:trHeight w:val="300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6A" w:rsidRPr="00FB0E39" w:rsidRDefault="00DA0E6A" w:rsidP="00DA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6E4" w:rsidRPr="00D33DED" w:rsidTr="00CD36E4">
        <w:trPr>
          <w:gridBefore w:val="1"/>
          <w:gridAfter w:val="1"/>
          <w:wBefore w:w="108" w:type="dxa"/>
          <w:wAfter w:w="140" w:type="dxa"/>
          <w:trHeight w:val="862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4" w:rsidRPr="00D33DED" w:rsidRDefault="00CD36E4" w:rsidP="00CD3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DED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D33DED">
              <w:rPr>
                <w:rFonts w:ascii="Times New Roman" w:hAnsi="Times New Roman" w:cs="Times New Roman"/>
                <w:b/>
              </w:rPr>
              <w:t>МАЭК-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Қазатомөнеркәсіп</w:t>
            </w:r>
            <w:proofErr w:type="spellEnd"/>
            <w:r w:rsidRPr="00D33DED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D33DED">
              <w:rPr>
                <w:rFonts w:ascii="Times New Roman" w:hAnsi="Times New Roman" w:cs="Times New Roman"/>
                <w:b/>
              </w:rPr>
              <w:t xml:space="preserve"> ЖШС-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нің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ыстық суды</w:t>
            </w:r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өндіруге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арналған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тарифтік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сметаның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орындалуы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мәліметі</w:t>
            </w:r>
            <w:proofErr w:type="spellEnd"/>
          </w:p>
        </w:tc>
      </w:tr>
      <w:tr w:rsidR="00CD36E4" w:rsidRPr="00D33DED" w:rsidTr="00CD36E4">
        <w:trPr>
          <w:gridBefore w:val="1"/>
          <w:gridAfter w:val="1"/>
          <w:wBefore w:w="108" w:type="dxa"/>
          <w:wAfter w:w="140" w:type="dxa"/>
          <w:trHeight w:val="33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6E4" w:rsidRPr="00D33DED" w:rsidRDefault="00CD36E4" w:rsidP="00CD36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3DED">
              <w:rPr>
                <w:rFonts w:ascii="Times New Roman" w:hAnsi="Times New Roman" w:cs="Times New Roman"/>
                <w:b/>
              </w:rPr>
              <w:t>Есепті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3DED">
              <w:rPr>
                <w:rFonts w:ascii="Times New Roman" w:hAnsi="Times New Roman" w:cs="Times New Roman"/>
                <w:b/>
              </w:rPr>
              <w:t>кезең</w:t>
            </w:r>
            <w:proofErr w:type="spellEnd"/>
            <w:r w:rsidRPr="00D33DED">
              <w:rPr>
                <w:rFonts w:ascii="Times New Roman" w:hAnsi="Times New Roman" w:cs="Times New Roman"/>
                <w:b/>
              </w:rPr>
              <w:t xml:space="preserve"> 2018ж.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734"/>
        <w:gridCol w:w="3959"/>
        <w:gridCol w:w="1202"/>
        <w:gridCol w:w="1683"/>
        <w:gridCol w:w="1635"/>
        <w:gridCol w:w="1532"/>
      </w:tblGrid>
      <w:tr w:rsidR="009F02C0" w:rsidRPr="009F02C0" w:rsidTr="009F02C0">
        <w:trPr>
          <w:trHeight w:val="16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D36E4" w:rsidRDefault="009F02C0" w:rsidP="00CD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="00CD36E4">
              <w:rPr>
                <w:rFonts w:ascii="Times New Roman" w:eastAsia="Times New Roman" w:hAnsi="Times New Roman" w:cs="Times New Roman"/>
                <w:lang w:val="kk-KZ" w:eastAsia="ru-RU"/>
              </w:rPr>
              <w:t>р</w:t>
            </w:r>
            <w:proofErr w:type="gramEnd"/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D36E4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Көрсеткіштер атауы</w:t>
            </w: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D36E4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Өлшем бірлігі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CD36E4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24282">
              <w:rPr>
                <w:rFonts w:ascii="Times New Roman" w:eastAsia="Times New Roman" w:hAnsi="Times New Roman" w:cs="Times New Roman"/>
                <w:lang w:val="kk-KZ" w:eastAsia="ru-RU"/>
              </w:rPr>
              <w:t>2018 жылға бекітілген тарифтік сметада көзделген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CD36E4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D36E4">
              <w:rPr>
                <w:rFonts w:ascii="Times New Roman" w:eastAsia="Times New Roman" w:hAnsi="Times New Roman" w:cs="Times New Roman"/>
                <w:lang w:val="kk-KZ" w:eastAsia="ru-RU"/>
              </w:rPr>
              <w:t>2018 жылғы тарифтік сметаның нақты қалыптасқан көрсеткіштері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CD36E4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Ауытқу</w:t>
            </w:r>
            <w:r w:rsidR="009F02C0" w:rsidRPr="009F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9F02C0" w:rsidRPr="009F02C0" w:rsidTr="009F02C0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9F02C0" w:rsidRPr="009F02C0" w:rsidTr="009F02C0">
        <w:trPr>
          <w:trHeight w:val="5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61335A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өндіруге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4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297 658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495 713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D33DED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Материалдық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286 524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484 325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69%</w:t>
            </w:r>
          </w:p>
        </w:tc>
      </w:tr>
      <w:tr w:rsidR="00D33DED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E5533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Еңбекақы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33DED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Жөндеу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33DED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Басқа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D33DED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E5533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Кезең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10 097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-27%</w:t>
            </w:r>
          </w:p>
        </w:tc>
      </w:tr>
      <w:tr w:rsidR="00D33DED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41444F" w:rsidRDefault="00D33DED" w:rsidP="00CD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kk-KZ" w:eastAsia="ru-RU"/>
              </w:rPr>
              <w:t>Жалпы және әкімшілік шығындар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10 097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ED" w:rsidRPr="009F02C0" w:rsidRDefault="00D33DED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-27%</w:t>
            </w:r>
          </w:p>
        </w:tc>
      </w:tr>
      <w:tr w:rsidR="0061335A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A8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төлеуге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335A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A8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арналған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307 755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503 072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9F02C0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61335A" w:rsidP="0061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Кіріс</w:t>
            </w:r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="009F02C0"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РБ*СП)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-196 850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9F02C0" w:rsidRPr="009F02C0" w:rsidTr="009F02C0">
        <w:trPr>
          <w:trHeight w:val="52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61335A" w:rsidP="009F0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Қ</w:t>
            </w:r>
            <w:proofErr w:type="gramStart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олданыс</w:t>
            </w:r>
            <w:proofErr w:type="gramEnd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реттелетін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базасы</w:t>
            </w:r>
            <w:proofErr w:type="spellEnd"/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  <w:t>А</w:t>
            </w:r>
            <w:r w:rsidRPr="00613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РБ)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9F02C0" w:rsidRDefault="009F02C0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335A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A8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Барлық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</w:t>
            </w:r>
            <w:proofErr w:type="gram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істер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-"-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307 755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306 222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335A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A8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өрсетілетін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 к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өлемі</w:t>
            </w:r>
            <w:proofErr w:type="spellEnd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ң</w:t>
            </w:r>
            <w:r w:rsidRPr="00414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мың</w:t>
            </w: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3 268,05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3 298,66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61335A" w:rsidRPr="009F02C0" w:rsidTr="009F02C0">
        <w:trPr>
          <w:trHeight w:val="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A8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алым</w:t>
            </w:r>
            <w:proofErr w:type="gram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ставкасы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(ҚҚС-</w:t>
            </w:r>
            <w:proofErr w:type="spellStart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</w:t>
            </w:r>
            <w:proofErr w:type="spellEnd"/>
            <w:r w:rsidRPr="00CD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</w:t>
            </w:r>
            <w:proofErr w:type="spellEnd"/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м3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A" w:rsidRPr="009F02C0" w:rsidRDefault="0061335A" w:rsidP="009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-1%</w:t>
            </w:r>
          </w:p>
        </w:tc>
      </w:tr>
    </w:tbl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6631D6" w:rsidRPr="009F02C0" w:rsidRDefault="009F02C0" w:rsidP="009F02C0">
      <w:pPr>
        <w:rPr>
          <w:rFonts w:ascii="Times New Roman" w:hAnsi="Times New Roman" w:cs="Times New Roman"/>
          <w:b/>
          <w:bCs/>
        </w:rPr>
        <w:sectPr w:rsidR="006631D6" w:rsidRPr="009F02C0" w:rsidSect="006311E8">
          <w:pgSz w:w="11906" w:h="16838"/>
          <w:pgMar w:top="238" w:right="567" w:bottom="567" w:left="567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br w:type="page"/>
      </w:r>
    </w:p>
    <w:p w:rsidR="00D80809" w:rsidRPr="00FB0E39" w:rsidRDefault="00D80809" w:rsidP="00D80809">
      <w:pPr>
        <w:spacing w:after="0" w:line="240" w:lineRule="auto"/>
        <w:rPr>
          <w:rFonts w:ascii="Times New Roman" w:hAnsi="Times New Roman" w:cs="Times New Roman"/>
        </w:rPr>
      </w:pPr>
    </w:p>
    <w:p w:rsidR="0061335A" w:rsidRPr="0061335A" w:rsidRDefault="0061335A" w:rsidP="0061335A">
      <w:pPr>
        <w:ind w:left="360"/>
        <w:rPr>
          <w:rFonts w:ascii="Times New Roman" w:hAnsi="Times New Roman" w:cs="Times New Roman"/>
          <w:b/>
        </w:rPr>
      </w:pPr>
      <w:proofErr w:type="gramStart"/>
      <w:r w:rsidRPr="0061335A">
        <w:rPr>
          <w:rFonts w:ascii="Times New Roman" w:hAnsi="Times New Roman" w:cs="Times New Roman"/>
          <w:b/>
        </w:rPr>
        <w:t xml:space="preserve">3. </w:t>
      </w:r>
      <w:proofErr w:type="spellStart"/>
      <w:r w:rsidRPr="0061335A">
        <w:rPr>
          <w:rFonts w:ascii="Times New Roman" w:hAnsi="Times New Roman" w:cs="Times New Roman"/>
          <w:b/>
        </w:rPr>
        <w:t>Қызмет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перспективалары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туралы</w:t>
      </w:r>
      <w:proofErr w:type="spellEnd"/>
      <w:r w:rsidRPr="0061335A">
        <w:rPr>
          <w:rFonts w:ascii="Times New Roman" w:hAnsi="Times New Roman" w:cs="Times New Roman"/>
          <w:b/>
        </w:rPr>
        <w:t xml:space="preserve"> (даму </w:t>
      </w:r>
      <w:proofErr w:type="spellStart"/>
      <w:r w:rsidRPr="0061335A">
        <w:rPr>
          <w:rFonts w:ascii="Times New Roman" w:hAnsi="Times New Roman" w:cs="Times New Roman"/>
          <w:b/>
        </w:rPr>
        <w:t>жоспарлары</w:t>
      </w:r>
      <w:proofErr w:type="spellEnd"/>
      <w:r w:rsidRPr="0061335A">
        <w:rPr>
          <w:rFonts w:ascii="Times New Roman" w:hAnsi="Times New Roman" w:cs="Times New Roman"/>
          <w:b/>
        </w:rPr>
        <w:t>)):</w:t>
      </w:r>
      <w:proofErr w:type="gramEnd"/>
    </w:p>
    <w:p w:rsidR="009F02C0" w:rsidRPr="009F02C0" w:rsidRDefault="0061335A" w:rsidP="006133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35A">
        <w:rPr>
          <w:rFonts w:ascii="Times New Roman" w:hAnsi="Times New Roman" w:cs="Times New Roman"/>
          <w:b/>
        </w:rPr>
        <w:t>Жылу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энергиясын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өндіру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және</w:t>
      </w:r>
      <w:proofErr w:type="spellEnd"/>
      <w:r w:rsidRPr="0061335A">
        <w:rPr>
          <w:rFonts w:ascii="Times New Roman" w:hAnsi="Times New Roman" w:cs="Times New Roman"/>
          <w:b/>
        </w:rPr>
        <w:t xml:space="preserve"> су </w:t>
      </w:r>
      <w:proofErr w:type="spellStart"/>
      <w:r w:rsidRPr="0061335A">
        <w:rPr>
          <w:rFonts w:ascii="Times New Roman" w:hAnsi="Times New Roman" w:cs="Times New Roman"/>
          <w:b/>
        </w:rPr>
        <w:t>шаруашылығы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жүйесінің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қызметтері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бойынша</w:t>
      </w:r>
      <w:proofErr w:type="spellEnd"/>
      <w:r w:rsidRPr="0061335A">
        <w:rPr>
          <w:rFonts w:ascii="Times New Roman" w:hAnsi="Times New Roman" w:cs="Times New Roman"/>
          <w:b/>
        </w:rPr>
        <w:t xml:space="preserve"> "МАЭ</w:t>
      </w:r>
      <w:proofErr w:type="gramStart"/>
      <w:r w:rsidRPr="0061335A">
        <w:rPr>
          <w:rFonts w:ascii="Times New Roman" w:hAnsi="Times New Roman" w:cs="Times New Roman"/>
          <w:b/>
        </w:rPr>
        <w:t>К-</w:t>
      </w:r>
      <w:proofErr w:type="spellStart"/>
      <w:proofErr w:type="gramEnd"/>
      <w:r w:rsidRPr="0061335A">
        <w:rPr>
          <w:rFonts w:ascii="Times New Roman" w:hAnsi="Times New Roman" w:cs="Times New Roman"/>
          <w:b/>
        </w:rPr>
        <w:t>Қазатомөнеркәсіп</w:t>
      </w:r>
      <w:proofErr w:type="spellEnd"/>
      <w:r w:rsidRPr="0061335A">
        <w:rPr>
          <w:rFonts w:ascii="Times New Roman" w:hAnsi="Times New Roman" w:cs="Times New Roman"/>
          <w:b/>
        </w:rPr>
        <w:t>" ЖШС-</w:t>
      </w:r>
      <w:proofErr w:type="spellStart"/>
      <w:r w:rsidRPr="0061335A">
        <w:rPr>
          <w:rFonts w:ascii="Times New Roman" w:hAnsi="Times New Roman" w:cs="Times New Roman"/>
          <w:b/>
        </w:rPr>
        <w:t>нің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пайдасы</w:t>
      </w:r>
      <w:proofErr w:type="spellEnd"/>
      <w:r w:rsidRPr="0061335A">
        <w:rPr>
          <w:rFonts w:ascii="Times New Roman" w:hAnsi="Times New Roman" w:cs="Times New Roman"/>
          <w:b/>
        </w:rPr>
        <w:t>/</w:t>
      </w:r>
      <w:proofErr w:type="spellStart"/>
      <w:r w:rsidRPr="0061335A">
        <w:rPr>
          <w:rFonts w:ascii="Times New Roman" w:hAnsi="Times New Roman" w:cs="Times New Roman"/>
          <w:b/>
        </w:rPr>
        <w:t>шығындары</w:t>
      </w:r>
      <w:proofErr w:type="spellEnd"/>
      <w:r w:rsidRPr="0061335A">
        <w:rPr>
          <w:rFonts w:ascii="Times New Roman" w:hAnsi="Times New Roman" w:cs="Times New Roman"/>
          <w:b/>
        </w:rPr>
        <w:t xml:space="preserve">, </w:t>
      </w:r>
      <w:proofErr w:type="spellStart"/>
      <w:r w:rsidRPr="0061335A">
        <w:rPr>
          <w:rFonts w:ascii="Times New Roman" w:hAnsi="Times New Roman" w:cs="Times New Roman"/>
          <w:b/>
        </w:rPr>
        <w:t>мың</w:t>
      </w:r>
      <w:proofErr w:type="spellEnd"/>
      <w:r w:rsidRPr="0061335A">
        <w:rPr>
          <w:rFonts w:ascii="Times New Roman" w:hAnsi="Times New Roman" w:cs="Times New Roman"/>
          <w:b/>
        </w:rPr>
        <w:t xml:space="preserve"> </w:t>
      </w:r>
      <w:proofErr w:type="spellStart"/>
      <w:r w:rsidRPr="0061335A">
        <w:rPr>
          <w:rFonts w:ascii="Times New Roman" w:hAnsi="Times New Roman" w:cs="Times New Roman"/>
          <w:b/>
        </w:rPr>
        <w:t>теңге</w:t>
      </w:r>
      <w:proofErr w:type="spellEnd"/>
    </w:p>
    <w:tbl>
      <w:tblPr>
        <w:tblW w:w="9600" w:type="dxa"/>
        <w:tblInd w:w="959" w:type="dxa"/>
        <w:tblLook w:val="04A0" w:firstRow="1" w:lastRow="0" w:firstColumn="1" w:lastColumn="0" w:noHBand="0" w:noVBand="1"/>
      </w:tblPr>
      <w:tblGrid>
        <w:gridCol w:w="513"/>
        <w:gridCol w:w="2493"/>
        <w:gridCol w:w="1235"/>
        <w:gridCol w:w="1414"/>
        <w:gridCol w:w="1295"/>
        <w:gridCol w:w="1434"/>
        <w:gridCol w:w="1216"/>
      </w:tblGrid>
      <w:tr w:rsidR="009F02C0" w:rsidRPr="000C117E" w:rsidTr="009F02C0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6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</w:t>
            </w:r>
            <w:proofErr w:type="gramEnd"/>
            <w:r w:rsidR="009F02C0"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Ресурстың атауы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9F02C0" w:rsidP="006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  <w:r w:rsidR="0061335A">
              <w:rPr>
                <w:rFonts w:ascii="Times New Roman" w:eastAsia="Times New Roman" w:hAnsi="Times New Roman" w:cs="Times New Roman"/>
                <w:lang w:val="kk-KZ" w:eastAsia="ru-RU"/>
              </w:rPr>
              <w:t>жыл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9F02C0" w:rsidP="006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  <w:r w:rsidR="0061335A">
              <w:rPr>
                <w:rFonts w:ascii="Times New Roman" w:eastAsia="Times New Roman" w:hAnsi="Times New Roman" w:cs="Times New Roman"/>
                <w:lang w:val="kk-KZ" w:eastAsia="ru-RU"/>
              </w:rPr>
              <w:t>жыл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9F02C0" w:rsidP="006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61335A">
              <w:rPr>
                <w:rFonts w:ascii="Times New Roman" w:eastAsia="Times New Roman" w:hAnsi="Times New Roman" w:cs="Times New Roman"/>
                <w:lang w:val="kk-KZ" w:eastAsia="ru-RU"/>
              </w:rPr>
              <w:t>жыл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9F02C0" w:rsidP="006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  <w:r w:rsidR="0061335A">
              <w:rPr>
                <w:rFonts w:ascii="Times New Roman" w:eastAsia="Times New Roman" w:hAnsi="Times New Roman" w:cs="Times New Roman"/>
                <w:lang w:val="kk-KZ" w:eastAsia="ru-RU"/>
              </w:rPr>
              <w:t>жыл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9F02C0" w:rsidP="0061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</w:t>
            </w:r>
            <w:r w:rsidR="0061335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жыл</w:t>
            </w:r>
          </w:p>
        </w:tc>
      </w:tr>
      <w:tr w:rsidR="009F02C0" w:rsidRPr="000C117E" w:rsidTr="009F02C0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Жылу энергиясы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-1 213 806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-1 402 974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-777 430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-1 395 712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-1 827 643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Ауыз су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-298 740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-668 520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-412 813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-636 140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-735 521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Техникалық су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-330 259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-443 794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-240 301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-269 604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-236 522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Ыстық су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-123 967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lang w:eastAsia="ru-RU"/>
              </w:rPr>
              <w:t>-121 759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-206 016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-196 850</w:t>
            </w:r>
          </w:p>
        </w:tc>
      </w:tr>
      <w:tr w:rsidR="009F02C0" w:rsidRPr="000C117E" w:rsidTr="009F02C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61335A" w:rsidRDefault="0061335A" w:rsidP="003C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БАРЛЫҒЫ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-1 861 624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-2 639 255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-1 552 303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-2 507 473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C0" w:rsidRPr="000C117E" w:rsidRDefault="009F02C0" w:rsidP="003C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-2 996 535</w:t>
            </w:r>
          </w:p>
        </w:tc>
      </w:tr>
    </w:tbl>
    <w:p w:rsidR="00113EFF" w:rsidRPr="009F02C0" w:rsidRDefault="0061335A" w:rsidP="0061335A">
      <w:pPr>
        <w:pStyle w:val="a3"/>
        <w:spacing w:before="240" w:after="0"/>
        <w:jc w:val="both"/>
        <w:rPr>
          <w:rFonts w:ascii="Times New Roman" w:hAnsi="Times New Roman" w:cs="Times New Roman"/>
          <w:b/>
        </w:rPr>
      </w:pPr>
      <w:r w:rsidRPr="0061335A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реттелі</w:t>
      </w:r>
      <w:proofErr w:type="gramStart"/>
      <w:r w:rsidRPr="0061335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өндіруге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тарифтерді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өзгерту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35A">
        <w:rPr>
          <w:rFonts w:ascii="Times New Roman" w:hAnsi="Times New Roman" w:cs="Times New Roman"/>
          <w:sz w:val="24"/>
          <w:szCs w:val="24"/>
        </w:rPr>
        <w:t>жоспарланбаған</w:t>
      </w:r>
      <w:proofErr w:type="spellEnd"/>
      <w:r w:rsidRPr="0061335A">
        <w:rPr>
          <w:rFonts w:ascii="Times New Roman" w:hAnsi="Times New Roman" w:cs="Times New Roman"/>
          <w:sz w:val="24"/>
          <w:szCs w:val="24"/>
        </w:rPr>
        <w:t>.</w:t>
      </w:r>
    </w:p>
    <w:sectPr w:rsidR="00113EFF" w:rsidRPr="009F02C0" w:rsidSect="009F02C0">
      <w:pgSz w:w="11906" w:h="16838"/>
      <w:pgMar w:top="567" w:right="567" w:bottom="2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2B9"/>
    <w:multiLevelType w:val="hybridMultilevel"/>
    <w:tmpl w:val="D2606B4A"/>
    <w:lvl w:ilvl="0" w:tplc="3962E24A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1F3"/>
    <w:multiLevelType w:val="hybridMultilevel"/>
    <w:tmpl w:val="5D48F0EA"/>
    <w:lvl w:ilvl="0" w:tplc="EDBE519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02C2A"/>
    <w:multiLevelType w:val="hybridMultilevel"/>
    <w:tmpl w:val="95C4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8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E0A54"/>
    <w:multiLevelType w:val="hybridMultilevel"/>
    <w:tmpl w:val="382C4178"/>
    <w:lvl w:ilvl="0" w:tplc="3C90AFE4">
      <w:start w:val="20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53115"/>
    <w:multiLevelType w:val="multilevel"/>
    <w:tmpl w:val="0419001F"/>
    <w:numStyleLink w:val="1"/>
  </w:abstractNum>
  <w:abstractNum w:abstractNumId="14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8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6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13"/>
  </w:num>
  <w:num w:numId="15">
    <w:abstractNumId w:val="15"/>
  </w:num>
  <w:num w:numId="16">
    <w:abstractNumId w:val="18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206F4"/>
    <w:rsid w:val="0002729A"/>
    <w:rsid w:val="00053932"/>
    <w:rsid w:val="0008117B"/>
    <w:rsid w:val="000E44C2"/>
    <w:rsid w:val="000F63BC"/>
    <w:rsid w:val="00102C0F"/>
    <w:rsid w:val="00105617"/>
    <w:rsid w:val="00113EFF"/>
    <w:rsid w:val="001317CB"/>
    <w:rsid w:val="00155848"/>
    <w:rsid w:val="0016247E"/>
    <w:rsid w:val="00180B8D"/>
    <w:rsid w:val="00184EBF"/>
    <w:rsid w:val="001B5B0A"/>
    <w:rsid w:val="001D0573"/>
    <w:rsid w:val="001D402D"/>
    <w:rsid w:val="001D54D1"/>
    <w:rsid w:val="001E5A02"/>
    <w:rsid w:val="001E5D51"/>
    <w:rsid w:val="0026062E"/>
    <w:rsid w:val="002942BE"/>
    <w:rsid w:val="002F4188"/>
    <w:rsid w:val="002F6972"/>
    <w:rsid w:val="0035463E"/>
    <w:rsid w:val="003C154B"/>
    <w:rsid w:val="003C6DBF"/>
    <w:rsid w:val="0041444F"/>
    <w:rsid w:val="004426B8"/>
    <w:rsid w:val="004609BF"/>
    <w:rsid w:val="0047529D"/>
    <w:rsid w:val="004F191A"/>
    <w:rsid w:val="005025D0"/>
    <w:rsid w:val="0054289D"/>
    <w:rsid w:val="00573760"/>
    <w:rsid w:val="005A3F33"/>
    <w:rsid w:val="0061335A"/>
    <w:rsid w:val="0061730E"/>
    <w:rsid w:val="006311E8"/>
    <w:rsid w:val="00652DC0"/>
    <w:rsid w:val="006631D6"/>
    <w:rsid w:val="00681B44"/>
    <w:rsid w:val="00693826"/>
    <w:rsid w:val="006B0C36"/>
    <w:rsid w:val="006C2DCD"/>
    <w:rsid w:val="006C4A05"/>
    <w:rsid w:val="006E5916"/>
    <w:rsid w:val="0072612D"/>
    <w:rsid w:val="00732BAF"/>
    <w:rsid w:val="00746FF0"/>
    <w:rsid w:val="007640A3"/>
    <w:rsid w:val="007C275D"/>
    <w:rsid w:val="00895CC3"/>
    <w:rsid w:val="008B627C"/>
    <w:rsid w:val="008E548D"/>
    <w:rsid w:val="00923250"/>
    <w:rsid w:val="0098054E"/>
    <w:rsid w:val="009B37DE"/>
    <w:rsid w:val="009F02C0"/>
    <w:rsid w:val="009F0BED"/>
    <w:rsid w:val="00A27C11"/>
    <w:rsid w:val="00A94C15"/>
    <w:rsid w:val="00AD6E29"/>
    <w:rsid w:val="00B6105D"/>
    <w:rsid w:val="00B75C71"/>
    <w:rsid w:val="00B75CE6"/>
    <w:rsid w:val="00BB061E"/>
    <w:rsid w:val="00BB7FF3"/>
    <w:rsid w:val="00BF2508"/>
    <w:rsid w:val="00C07492"/>
    <w:rsid w:val="00C861A5"/>
    <w:rsid w:val="00C94C0D"/>
    <w:rsid w:val="00CA4812"/>
    <w:rsid w:val="00CD0A5C"/>
    <w:rsid w:val="00CD2741"/>
    <w:rsid w:val="00CD36E4"/>
    <w:rsid w:val="00D155C9"/>
    <w:rsid w:val="00D33DED"/>
    <w:rsid w:val="00D347B1"/>
    <w:rsid w:val="00D5230E"/>
    <w:rsid w:val="00D80809"/>
    <w:rsid w:val="00D96FC8"/>
    <w:rsid w:val="00DA0E6A"/>
    <w:rsid w:val="00DC08A3"/>
    <w:rsid w:val="00DC0FFC"/>
    <w:rsid w:val="00E11D4E"/>
    <w:rsid w:val="00E26195"/>
    <w:rsid w:val="00E33743"/>
    <w:rsid w:val="00E35A91"/>
    <w:rsid w:val="00E5533F"/>
    <w:rsid w:val="00E571B3"/>
    <w:rsid w:val="00E93179"/>
    <w:rsid w:val="00EE1374"/>
    <w:rsid w:val="00EF312E"/>
    <w:rsid w:val="00EF7D55"/>
    <w:rsid w:val="00F13AD3"/>
    <w:rsid w:val="00F24282"/>
    <w:rsid w:val="00F547F4"/>
    <w:rsid w:val="00F9324D"/>
    <w:rsid w:val="00FB0E39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E18E-1FA8-4F71-A657-F76CC60C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Есентурлиева Маржан</cp:lastModifiedBy>
  <cp:revision>7</cp:revision>
  <cp:lastPrinted>2019-04-20T05:52:00Z</cp:lastPrinted>
  <dcterms:created xsi:type="dcterms:W3CDTF">2019-04-20T06:17:00Z</dcterms:created>
  <dcterms:modified xsi:type="dcterms:W3CDTF">2020-06-12T11:07:00Z</dcterms:modified>
</cp:coreProperties>
</file>